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2820" w:rsidRDefault="004C509C">
      <w:pPr>
        <w:pStyle w:val="Standard"/>
        <w:tabs>
          <w:tab w:val="left" w:pos="6240"/>
        </w:tabs>
        <w:rPr>
          <w:rFonts w:ascii="標楷體" w:eastAsia="標楷體" w:hAnsi="標楷體"/>
          <w:bCs/>
          <w:color w:val="000000"/>
          <w:szCs w:val="24"/>
        </w:rPr>
      </w:pPr>
      <w:r>
        <w:rPr>
          <w:rFonts w:ascii="標楷體" w:eastAsia="標楷體" w:hAnsi="標楷體"/>
          <w:bCs/>
          <w:color w:val="000000"/>
          <w:szCs w:val="24"/>
        </w:rPr>
        <w:t>附件一</w:t>
      </w:r>
    </w:p>
    <w:p w:rsidR="00CA2820" w:rsidRDefault="004C509C">
      <w:pPr>
        <w:pStyle w:val="Standard"/>
        <w:tabs>
          <w:tab w:val="left" w:pos="6240"/>
        </w:tabs>
        <w:jc w:val="center"/>
      </w:pPr>
      <w:proofErr w:type="gramStart"/>
      <w:r>
        <w:rPr>
          <w:rFonts w:ascii="標楷體" w:eastAsia="標楷體" w:hAnsi="標楷體"/>
          <w:b/>
          <w:sz w:val="36"/>
        </w:rPr>
        <w:t>運動部</w:t>
      </w:r>
      <w:r>
        <w:rPr>
          <w:rFonts w:ascii="標楷體" w:eastAsia="標楷體" w:hAnsi="標楷體"/>
          <w:b/>
          <w:color w:val="000000"/>
          <w:sz w:val="36"/>
        </w:rPr>
        <w:t>補</w:t>
      </w:r>
      <w:proofErr w:type="gramEnd"/>
      <w:r>
        <w:rPr>
          <w:rFonts w:ascii="標楷體" w:eastAsia="標楷體" w:hAnsi="標楷體"/>
          <w:b/>
          <w:color w:val="000000"/>
          <w:sz w:val="36"/>
        </w:rPr>
        <w:t>（捐）助及委辦經費編列基準表</w:t>
      </w:r>
    </w:p>
    <w:tbl>
      <w:tblPr>
        <w:tblW w:w="10204" w:type="dxa"/>
        <w:tblLayout w:type="fixed"/>
        <w:tblCellMar>
          <w:left w:w="10" w:type="dxa"/>
          <w:right w:w="10" w:type="dxa"/>
        </w:tblCellMar>
        <w:tblLook w:val="0000" w:firstRow="0" w:lastRow="0" w:firstColumn="0" w:lastColumn="0" w:noHBand="0" w:noVBand="0"/>
      </w:tblPr>
      <w:tblGrid>
        <w:gridCol w:w="1555"/>
        <w:gridCol w:w="1559"/>
        <w:gridCol w:w="3402"/>
        <w:gridCol w:w="3688"/>
      </w:tblGrid>
      <w:tr w:rsidR="00CA2820">
        <w:tblPrEx>
          <w:tblCellMar>
            <w:top w:w="0" w:type="dxa"/>
            <w:bottom w:w="0" w:type="dxa"/>
          </w:tblCellMar>
        </w:tblPrEx>
        <w:tc>
          <w:tcPr>
            <w:tcW w:w="15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CA2820" w:rsidRDefault="004C509C">
            <w:pPr>
              <w:pStyle w:val="Standard"/>
              <w:tabs>
                <w:tab w:val="left" w:pos="6240"/>
              </w:tabs>
              <w:jc w:val="center"/>
            </w:pPr>
            <w:r>
              <w:rPr>
                <w:rFonts w:ascii="標楷體" w:eastAsia="標楷體" w:hAnsi="標楷體"/>
                <w:szCs w:val="24"/>
              </w:rPr>
              <w:t>一級用途別項目</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CA2820" w:rsidRDefault="004C509C">
            <w:pPr>
              <w:pStyle w:val="Standard"/>
              <w:tabs>
                <w:tab w:val="left" w:pos="6240"/>
              </w:tabs>
              <w:jc w:val="center"/>
            </w:pPr>
            <w:r>
              <w:rPr>
                <w:rFonts w:ascii="標楷體" w:eastAsia="標楷體" w:hAnsi="標楷體"/>
                <w:szCs w:val="24"/>
              </w:rPr>
              <w:t>二級用途別項目</w:t>
            </w:r>
          </w:p>
        </w:tc>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CA2820" w:rsidRDefault="004C509C">
            <w:pPr>
              <w:pStyle w:val="Standard"/>
              <w:tabs>
                <w:tab w:val="left" w:pos="6240"/>
              </w:tabs>
              <w:jc w:val="center"/>
            </w:pPr>
            <w:r>
              <w:rPr>
                <w:rFonts w:ascii="標楷體" w:eastAsia="標楷體" w:hAnsi="標楷體"/>
                <w:szCs w:val="24"/>
              </w:rPr>
              <w:t>編列基準</w:t>
            </w:r>
          </w:p>
        </w:tc>
        <w:tc>
          <w:tcPr>
            <w:tcW w:w="36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CA2820" w:rsidRDefault="004C509C">
            <w:pPr>
              <w:pStyle w:val="Standard"/>
              <w:tabs>
                <w:tab w:val="left" w:pos="6240"/>
              </w:tabs>
              <w:jc w:val="center"/>
            </w:pPr>
            <w:r>
              <w:rPr>
                <w:rFonts w:ascii="標楷體" w:eastAsia="標楷體" w:hAnsi="標楷體"/>
                <w:szCs w:val="24"/>
              </w:rPr>
              <w:t>說明</w:t>
            </w:r>
          </w:p>
        </w:tc>
      </w:tr>
      <w:tr w:rsidR="00CA2820">
        <w:tblPrEx>
          <w:tblCellMar>
            <w:top w:w="0" w:type="dxa"/>
            <w:bottom w:w="0" w:type="dxa"/>
          </w:tblCellMar>
        </w:tblPrEx>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960"/>
              </w:tabs>
              <w:jc w:val="both"/>
            </w:pPr>
            <w:r>
              <w:rPr>
                <w:rFonts w:eastAsia="標楷體"/>
              </w:rPr>
              <w:t>一、</w:t>
            </w:r>
            <w:r>
              <w:rPr>
                <w:rFonts w:ascii="標楷體" w:eastAsia="標楷體" w:hAnsi="標楷體"/>
                <w:szCs w:val="24"/>
              </w:rPr>
              <w:t>人事費</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CA2820">
            <w:pPr>
              <w:pStyle w:val="Standard"/>
              <w:tabs>
                <w:tab w:val="left" w:pos="6240"/>
              </w:tabs>
              <w:rPr>
                <w:rFonts w:ascii="標楷體" w:eastAsia="標楷體" w:hAnsi="標楷體"/>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CA2820">
            <w:pPr>
              <w:pStyle w:val="Standard"/>
              <w:tabs>
                <w:tab w:val="left" w:pos="6240"/>
              </w:tabs>
              <w:jc w:val="both"/>
              <w:rPr>
                <w:rFonts w:ascii="標楷體" w:eastAsia="標楷體" w:hAnsi="標楷體"/>
                <w:szCs w:val="24"/>
              </w:rPr>
            </w:pPr>
          </w:p>
        </w:tc>
        <w:tc>
          <w:tcPr>
            <w:tcW w:w="3688"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3852"/>
              </w:tabs>
              <w:jc w:val="both"/>
            </w:pPr>
            <w:r>
              <w:rPr>
                <w:rFonts w:ascii="標楷體" w:eastAsia="標楷體" w:hAnsi="標楷體"/>
                <w:szCs w:val="24"/>
              </w:rPr>
              <w:t>人事費編列總額占總經費之比率以不超過百分之五十為原則，並應併入所得並請執行單位代扣繳稅款。但應業務需要，經本部同意，得酌予增列。</w:t>
            </w:r>
          </w:p>
          <w:p w:rsidR="00CA2820" w:rsidRDefault="004C509C">
            <w:pPr>
              <w:pStyle w:val="Standard"/>
              <w:tabs>
                <w:tab w:val="left" w:pos="1452"/>
              </w:tabs>
              <w:ind w:left="458" w:hanging="503"/>
              <w:jc w:val="both"/>
            </w:pPr>
            <w:r>
              <w:rPr>
                <w:rFonts w:eastAsia="標楷體"/>
              </w:rPr>
              <w:t>一、</w:t>
            </w:r>
            <w:r>
              <w:rPr>
                <w:rFonts w:ascii="標楷體" w:eastAsia="標楷體" w:hAnsi="標楷體"/>
                <w:szCs w:val="24"/>
              </w:rPr>
              <w:t>主持人資格規定：每一兼任計畫主持人</w:t>
            </w:r>
            <w:r>
              <w:rPr>
                <w:rFonts w:ascii="標楷體" w:eastAsia="標楷體" w:hAnsi="標楷體"/>
                <w:color w:val="000000"/>
                <w:szCs w:val="24"/>
              </w:rPr>
              <w:t>限</w:t>
            </w:r>
            <w:r>
              <w:rPr>
                <w:rFonts w:ascii="標楷體" w:eastAsia="標楷體" w:hAnsi="標楷體"/>
                <w:color w:val="000000"/>
                <w:szCs w:val="24"/>
              </w:rPr>
              <w:t>1</w:t>
            </w:r>
            <w:r>
              <w:rPr>
                <w:rFonts w:ascii="標楷體" w:eastAsia="標楷體" w:hAnsi="標楷體"/>
                <w:color w:val="000000"/>
                <w:szCs w:val="24"/>
              </w:rPr>
              <w:t>人，兼任協同計畫主持人限</w:t>
            </w:r>
            <w:r>
              <w:rPr>
                <w:rFonts w:ascii="標楷體" w:eastAsia="標楷體" w:hAnsi="標楷體"/>
                <w:color w:val="000000"/>
                <w:szCs w:val="24"/>
              </w:rPr>
              <w:t>1</w:t>
            </w:r>
            <w:r>
              <w:rPr>
                <w:rFonts w:ascii="標楷體" w:eastAsia="標楷體" w:hAnsi="標楷體"/>
                <w:color w:val="000000"/>
                <w:szCs w:val="24"/>
              </w:rPr>
              <w:t>至</w:t>
            </w:r>
            <w:r>
              <w:rPr>
                <w:rFonts w:ascii="標楷體" w:eastAsia="標楷體" w:hAnsi="標楷體"/>
                <w:color w:val="000000"/>
                <w:szCs w:val="24"/>
              </w:rPr>
              <w:t>2</w:t>
            </w:r>
            <w:r>
              <w:rPr>
                <w:rFonts w:ascii="標楷體" w:eastAsia="標楷體" w:hAnsi="標楷體"/>
                <w:color w:val="000000"/>
                <w:szCs w:val="24"/>
              </w:rPr>
              <w:t>人，須具博士或副教授以上資格或具相當經驗之專家，前述限制，倘因特殊需要，經本部同意者，不在此限。</w:t>
            </w:r>
          </w:p>
          <w:p w:rsidR="00CA2820" w:rsidRDefault="004C509C">
            <w:pPr>
              <w:pStyle w:val="Standard"/>
              <w:tabs>
                <w:tab w:val="left" w:pos="1452"/>
              </w:tabs>
              <w:ind w:left="458" w:hanging="503"/>
              <w:jc w:val="both"/>
              <w:rPr>
                <w:rFonts w:ascii="標楷體" w:eastAsia="標楷體" w:hAnsi="標楷體"/>
                <w:szCs w:val="24"/>
              </w:rPr>
            </w:pPr>
            <w:r>
              <w:rPr>
                <w:rFonts w:ascii="標楷體" w:eastAsia="標楷體" w:hAnsi="標楷體"/>
                <w:szCs w:val="24"/>
              </w:rPr>
              <w:t>二、各計畫人數以不超過</w:t>
            </w:r>
            <w:r>
              <w:rPr>
                <w:rFonts w:ascii="標楷體" w:eastAsia="標楷體" w:hAnsi="標楷體"/>
                <w:szCs w:val="24"/>
              </w:rPr>
              <w:t>4</w:t>
            </w:r>
            <w:r>
              <w:rPr>
                <w:rFonts w:ascii="標楷體" w:eastAsia="標楷體" w:hAnsi="標楷體"/>
                <w:szCs w:val="24"/>
              </w:rPr>
              <w:t>人為原則，但應業務需要，經本部同意，得酌予增列。</w:t>
            </w:r>
          </w:p>
          <w:p w:rsidR="00CA2820" w:rsidRDefault="004C509C">
            <w:pPr>
              <w:pStyle w:val="Standard"/>
              <w:tabs>
                <w:tab w:val="left" w:pos="1452"/>
              </w:tabs>
              <w:ind w:left="458" w:hanging="503"/>
              <w:jc w:val="both"/>
            </w:pPr>
            <w:r>
              <w:rPr>
                <w:rFonts w:ascii="標楷體" w:eastAsia="標楷體" w:hAnsi="標楷體"/>
                <w:szCs w:val="24"/>
              </w:rPr>
              <w:t>三、專</w:t>
            </w:r>
            <w:r>
              <w:rPr>
                <w:rFonts w:ascii="標楷體" w:eastAsia="標楷體" w:hAnsi="標楷體"/>
                <w:szCs w:val="24"/>
              </w:rPr>
              <w:t>(</w:t>
            </w:r>
            <w:r>
              <w:rPr>
                <w:rFonts w:ascii="標楷體" w:eastAsia="標楷體" w:hAnsi="標楷體"/>
                <w:szCs w:val="24"/>
              </w:rPr>
              <w:t>兼</w:t>
            </w:r>
            <w:r>
              <w:rPr>
                <w:rFonts w:ascii="標楷體" w:eastAsia="標楷體" w:hAnsi="標楷體"/>
                <w:szCs w:val="24"/>
              </w:rPr>
              <w:t>)</w:t>
            </w:r>
            <w:r>
              <w:rPr>
                <w:rFonts w:ascii="標楷體" w:eastAsia="標楷體" w:hAnsi="標楷體"/>
                <w:szCs w:val="24"/>
              </w:rPr>
              <w:t>任行政助理之聘用，應依各執行單位人員進用辦法進用與管理。</w:t>
            </w:r>
          </w:p>
          <w:p w:rsidR="00CA2820" w:rsidRDefault="004C509C">
            <w:pPr>
              <w:pStyle w:val="Standard"/>
              <w:tabs>
                <w:tab w:val="left" w:pos="1452"/>
              </w:tabs>
              <w:ind w:left="458" w:hanging="503"/>
              <w:jc w:val="both"/>
            </w:pPr>
            <w:r>
              <w:rPr>
                <w:rFonts w:ascii="標楷體" w:eastAsia="標楷體" w:hAnsi="標楷體"/>
                <w:szCs w:val="24"/>
              </w:rPr>
              <w:t>四、人事費所需費用包括薪資、退休金、保險、年終獎金及其他依法應給予項目。</w:t>
            </w:r>
          </w:p>
          <w:p w:rsidR="00CA2820" w:rsidRDefault="004C509C">
            <w:pPr>
              <w:pStyle w:val="Standard"/>
              <w:tabs>
                <w:tab w:val="left" w:pos="1452"/>
              </w:tabs>
              <w:ind w:left="458" w:hanging="503"/>
              <w:jc w:val="both"/>
            </w:pPr>
            <w:r>
              <w:rPr>
                <w:rFonts w:ascii="標楷體" w:eastAsia="標楷體" w:hAnsi="標楷體"/>
                <w:szCs w:val="24"/>
              </w:rPr>
              <w:t>五、補</w:t>
            </w:r>
            <w:r>
              <w:rPr>
                <w:rFonts w:ascii="標楷體" w:eastAsia="標楷體" w:hAnsi="標楷體"/>
                <w:szCs w:val="24"/>
              </w:rPr>
              <w:t>(</w:t>
            </w:r>
            <w:r>
              <w:rPr>
                <w:rFonts w:ascii="標楷體" w:eastAsia="標楷體" w:hAnsi="標楷體"/>
                <w:szCs w:val="24"/>
              </w:rPr>
              <w:t>捐</w:t>
            </w:r>
            <w:r>
              <w:rPr>
                <w:rFonts w:ascii="標楷體" w:eastAsia="標楷體" w:hAnsi="標楷體"/>
                <w:szCs w:val="24"/>
              </w:rPr>
              <w:t>)</w:t>
            </w:r>
            <w:r>
              <w:rPr>
                <w:rFonts w:ascii="標楷體" w:eastAsia="標楷體" w:hAnsi="標楷體"/>
                <w:szCs w:val="24"/>
              </w:rPr>
              <w:t>助案件除因特殊需要並經本部同意者外，以不補</w:t>
            </w:r>
            <w:r>
              <w:rPr>
                <w:rFonts w:ascii="標楷體" w:eastAsia="標楷體" w:hAnsi="標楷體"/>
                <w:szCs w:val="24"/>
              </w:rPr>
              <w:t>(</w:t>
            </w:r>
            <w:r>
              <w:rPr>
                <w:rFonts w:ascii="標楷體" w:eastAsia="標楷體" w:hAnsi="標楷體"/>
                <w:szCs w:val="24"/>
              </w:rPr>
              <w:t>捐</w:t>
            </w:r>
            <w:r>
              <w:rPr>
                <w:rFonts w:ascii="標楷體" w:eastAsia="標楷體" w:hAnsi="標楷體"/>
                <w:szCs w:val="24"/>
              </w:rPr>
              <w:t>)</w:t>
            </w:r>
            <w:r>
              <w:rPr>
                <w:rFonts w:ascii="標楷體" w:eastAsia="標楷體" w:hAnsi="標楷體"/>
                <w:szCs w:val="24"/>
              </w:rPr>
              <w:t>助人事費為原則。</w:t>
            </w:r>
          </w:p>
          <w:p w:rsidR="00CA2820" w:rsidRDefault="004C509C">
            <w:pPr>
              <w:pStyle w:val="Standard"/>
              <w:tabs>
                <w:tab w:val="left" w:pos="1452"/>
              </w:tabs>
              <w:ind w:left="458" w:hanging="503"/>
              <w:jc w:val="both"/>
            </w:pPr>
            <w:r>
              <w:rPr>
                <w:rFonts w:ascii="標楷體" w:eastAsia="標楷體" w:hAnsi="標楷體"/>
                <w:szCs w:val="24"/>
              </w:rPr>
              <w:t>六、加班費：補</w:t>
            </w:r>
            <w:r>
              <w:rPr>
                <w:rFonts w:ascii="標楷體" w:eastAsia="標楷體" w:hAnsi="標楷體"/>
                <w:szCs w:val="24"/>
              </w:rPr>
              <w:t>(</w:t>
            </w:r>
            <w:r>
              <w:rPr>
                <w:rFonts w:ascii="標楷體" w:eastAsia="標楷體" w:hAnsi="標楷體"/>
                <w:szCs w:val="24"/>
              </w:rPr>
              <w:t>捐</w:t>
            </w:r>
            <w:r>
              <w:rPr>
                <w:rFonts w:ascii="標楷體" w:eastAsia="標楷體" w:hAnsi="標楷體"/>
                <w:szCs w:val="24"/>
              </w:rPr>
              <w:t>)</w:t>
            </w:r>
            <w:r>
              <w:rPr>
                <w:rFonts w:ascii="標楷體" w:eastAsia="標楷體" w:hAnsi="標楷體"/>
                <w:szCs w:val="24"/>
              </w:rPr>
              <w:t>助計畫專任助理如確有加班事實，加班費不得由補</w:t>
            </w:r>
            <w:r>
              <w:rPr>
                <w:rFonts w:ascii="標楷體" w:eastAsia="標楷體" w:hAnsi="標楷體"/>
                <w:szCs w:val="24"/>
              </w:rPr>
              <w:t>(</w:t>
            </w:r>
            <w:r>
              <w:rPr>
                <w:rFonts w:ascii="標楷體" w:eastAsia="標楷體" w:hAnsi="標楷體"/>
                <w:szCs w:val="24"/>
              </w:rPr>
              <w:t>捐</w:t>
            </w:r>
            <w:r>
              <w:rPr>
                <w:rFonts w:ascii="標楷體" w:eastAsia="標楷體" w:hAnsi="標楷體"/>
                <w:szCs w:val="24"/>
              </w:rPr>
              <w:t>)</w:t>
            </w:r>
            <w:r>
              <w:rPr>
                <w:rFonts w:ascii="標楷體" w:eastAsia="標楷體" w:hAnsi="標楷體"/>
                <w:szCs w:val="24"/>
              </w:rPr>
              <w:t>助經費支給，惟仍應依勞動基準法規定辦理，並由執行單位自籌經費核實支給。委辦計畫係由委辦單位依計畫需求核實編列人力經費，</w:t>
            </w:r>
            <w:proofErr w:type="gramStart"/>
            <w:r>
              <w:rPr>
                <w:rFonts w:ascii="標楷體" w:eastAsia="標楷體" w:hAnsi="標楷體"/>
                <w:szCs w:val="24"/>
              </w:rPr>
              <w:t>爰</w:t>
            </w:r>
            <w:proofErr w:type="gramEnd"/>
            <w:r>
              <w:rPr>
                <w:rFonts w:ascii="標楷體" w:eastAsia="標楷體" w:hAnsi="標楷體"/>
                <w:szCs w:val="24"/>
              </w:rPr>
              <w:t>請依契約及各執行單位規定辦理。</w:t>
            </w:r>
          </w:p>
          <w:p w:rsidR="00CA2820" w:rsidRDefault="004C509C">
            <w:pPr>
              <w:pStyle w:val="Standard"/>
              <w:tabs>
                <w:tab w:val="left" w:pos="6720"/>
              </w:tabs>
              <w:ind w:left="480" w:hanging="503"/>
              <w:jc w:val="both"/>
            </w:pPr>
            <w:r>
              <w:rPr>
                <w:rFonts w:ascii="標楷體" w:eastAsia="標楷體" w:hAnsi="標楷體"/>
                <w:szCs w:val="24"/>
              </w:rPr>
              <w:t>七、專任行政助理不得再兼任本部或其他機關計</w:t>
            </w:r>
            <w:r>
              <w:rPr>
                <w:rFonts w:ascii="標楷體" w:eastAsia="標楷體" w:hAnsi="標楷體"/>
                <w:color w:val="000000"/>
                <w:szCs w:val="24"/>
              </w:rPr>
              <w:t>畫。</w:t>
            </w:r>
          </w:p>
          <w:p w:rsidR="00CA2820" w:rsidRDefault="004C509C">
            <w:pPr>
              <w:pStyle w:val="Standard"/>
              <w:tabs>
                <w:tab w:val="left" w:pos="6720"/>
              </w:tabs>
              <w:ind w:left="480" w:hanging="503"/>
              <w:jc w:val="both"/>
            </w:pPr>
            <w:r>
              <w:rPr>
                <w:rFonts w:ascii="標楷體" w:eastAsia="標楷體" w:hAnsi="標楷體"/>
                <w:color w:val="000000"/>
                <w:szCs w:val="24"/>
              </w:rPr>
              <w:t>八、擔任本部不同計畫項下之專任助理，如同年</w:t>
            </w:r>
            <w:r>
              <w:rPr>
                <w:rFonts w:ascii="標楷體" w:eastAsia="標楷體" w:hAnsi="標楷體"/>
                <w:color w:val="000000"/>
                <w:szCs w:val="24"/>
              </w:rPr>
              <w:t>12</w:t>
            </w:r>
            <w:r>
              <w:rPr>
                <w:rFonts w:ascii="標楷體" w:eastAsia="標楷體" w:hAnsi="標楷體"/>
                <w:color w:val="000000"/>
                <w:szCs w:val="24"/>
              </w:rPr>
              <w:t>月</w:t>
            </w:r>
            <w:r>
              <w:rPr>
                <w:rFonts w:ascii="標楷體" w:eastAsia="標楷體" w:hAnsi="標楷體"/>
                <w:color w:val="000000"/>
                <w:szCs w:val="24"/>
              </w:rPr>
              <w:t>1</w:t>
            </w:r>
            <w:r>
              <w:rPr>
                <w:rFonts w:ascii="標楷體" w:eastAsia="標楷體" w:hAnsi="標楷體"/>
                <w:color w:val="000000"/>
                <w:szCs w:val="24"/>
              </w:rPr>
              <w:t>日仍在職者，不論其在職月份是否銜接，均可依實際在職月數合併計算後，按比率</w:t>
            </w:r>
            <w:r>
              <w:rPr>
                <w:rFonts w:ascii="標楷體" w:eastAsia="標楷體" w:hAnsi="標楷體"/>
                <w:szCs w:val="24"/>
              </w:rPr>
              <w:t>發給年終獎金</w:t>
            </w:r>
            <w:r>
              <w:rPr>
                <w:rFonts w:ascii="標楷體" w:eastAsia="標楷體" w:hAnsi="標楷體"/>
                <w:szCs w:val="24"/>
              </w:rPr>
              <w:t>(</w:t>
            </w:r>
            <w:r>
              <w:rPr>
                <w:rFonts w:ascii="標楷體" w:eastAsia="標楷體" w:hAnsi="標楷體"/>
                <w:szCs w:val="24"/>
              </w:rPr>
              <w:t>其任職前之政府機構相關工作經驗年資可合</w:t>
            </w:r>
            <w:r>
              <w:rPr>
                <w:rFonts w:ascii="標楷體" w:eastAsia="標楷體" w:hAnsi="標楷體"/>
                <w:szCs w:val="24"/>
              </w:rPr>
              <w:lastRenderedPageBreak/>
              <w:t>併計算發給年終工作獎金，惟須檢附相關文件</w:t>
            </w:r>
            <w:r>
              <w:rPr>
                <w:rFonts w:ascii="標楷體" w:eastAsia="標楷體" w:hAnsi="標楷體"/>
                <w:szCs w:val="24"/>
              </w:rPr>
              <w:t>)</w:t>
            </w:r>
            <w:r>
              <w:rPr>
                <w:rFonts w:ascii="標楷體" w:eastAsia="標楷體" w:hAnsi="標楷體"/>
                <w:szCs w:val="24"/>
              </w:rPr>
              <w:t>。</w:t>
            </w:r>
          </w:p>
          <w:p w:rsidR="00CA2820" w:rsidRDefault="00CA2820">
            <w:pPr>
              <w:pStyle w:val="Standard"/>
              <w:tabs>
                <w:tab w:val="left" w:pos="6720"/>
              </w:tabs>
              <w:ind w:left="480" w:hanging="503"/>
              <w:jc w:val="both"/>
            </w:pPr>
          </w:p>
        </w:tc>
      </w:tr>
      <w:tr w:rsidR="00CA2820">
        <w:tblPrEx>
          <w:tblCellMar>
            <w:top w:w="0" w:type="dxa"/>
            <w:bottom w:w="0" w:type="dxa"/>
          </w:tblCellMar>
        </w:tblPrEx>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CA2820">
            <w:pPr>
              <w:pStyle w:val="Standard"/>
              <w:tabs>
                <w:tab w:val="left" w:pos="6240"/>
              </w:tabs>
              <w:rPr>
                <w:rFonts w:ascii="標楷體" w:eastAsia="標楷體" w:hAnsi="標楷體"/>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both"/>
            </w:pPr>
            <w:r>
              <w:rPr>
                <w:rFonts w:ascii="標楷體" w:eastAsia="標楷體" w:hAnsi="標楷體"/>
                <w:szCs w:val="24"/>
              </w:rPr>
              <w:t>兼任計畫主持人</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1452"/>
              </w:tabs>
              <w:ind w:left="-45"/>
              <w:jc w:val="both"/>
            </w:pPr>
            <w:r>
              <w:rPr>
                <w:rFonts w:ascii="標楷體" w:eastAsia="標楷體" w:hAnsi="標楷體"/>
                <w:szCs w:val="24"/>
              </w:rPr>
              <w:t>每人月薪資</w:t>
            </w:r>
            <w:r>
              <w:rPr>
                <w:rFonts w:ascii="標楷體" w:eastAsia="標楷體" w:hAnsi="標楷體"/>
                <w:szCs w:val="24"/>
              </w:rPr>
              <w:t>6,000</w:t>
            </w:r>
            <w:r>
              <w:rPr>
                <w:rFonts w:ascii="標楷體" w:eastAsia="標楷體" w:hAnsi="標楷體"/>
                <w:color w:val="000000"/>
                <w:szCs w:val="24"/>
              </w:rPr>
              <w:t>元至</w:t>
            </w:r>
            <w:r>
              <w:rPr>
                <w:rFonts w:ascii="標楷體" w:eastAsia="標楷體" w:hAnsi="標楷體"/>
                <w:color w:val="000000"/>
                <w:szCs w:val="24"/>
              </w:rPr>
              <w:t>1</w:t>
            </w:r>
            <w:r>
              <w:rPr>
                <w:rFonts w:ascii="標楷體" w:eastAsia="標楷體" w:hAnsi="標楷體"/>
                <w:color w:val="000000"/>
                <w:szCs w:val="24"/>
              </w:rPr>
              <w:t>萬元。計畫經費規模逾</w:t>
            </w:r>
            <w:r>
              <w:rPr>
                <w:rFonts w:ascii="標楷體" w:eastAsia="標楷體" w:hAnsi="標楷體"/>
                <w:color w:val="000000"/>
                <w:szCs w:val="24"/>
              </w:rPr>
              <w:t>1,000</w:t>
            </w:r>
            <w:r>
              <w:rPr>
                <w:rFonts w:ascii="標楷體" w:eastAsia="標楷體" w:hAnsi="標楷體"/>
                <w:color w:val="000000"/>
                <w:szCs w:val="24"/>
              </w:rPr>
              <w:t>萬元，因特殊需要經本部同意者，得提高至</w:t>
            </w:r>
            <w:r>
              <w:rPr>
                <w:rFonts w:ascii="標楷體" w:eastAsia="標楷體" w:hAnsi="標楷體"/>
                <w:color w:val="000000"/>
                <w:szCs w:val="24"/>
              </w:rPr>
              <w:t>1</w:t>
            </w:r>
            <w:r>
              <w:rPr>
                <w:rFonts w:ascii="標楷體" w:eastAsia="標楷體" w:hAnsi="標楷體"/>
                <w:color w:val="000000"/>
                <w:szCs w:val="24"/>
              </w:rPr>
              <w:t>萬</w:t>
            </w:r>
            <w:r>
              <w:rPr>
                <w:rFonts w:ascii="標楷體" w:eastAsia="標楷體" w:hAnsi="標楷體"/>
                <w:color w:val="000000"/>
                <w:szCs w:val="24"/>
              </w:rPr>
              <w:t>5,0</w:t>
            </w:r>
            <w:r>
              <w:rPr>
                <w:rFonts w:ascii="標楷體" w:eastAsia="標楷體" w:hAnsi="標楷體"/>
                <w:szCs w:val="24"/>
              </w:rPr>
              <w:t>00</w:t>
            </w:r>
            <w:r>
              <w:rPr>
                <w:rFonts w:ascii="標楷體" w:eastAsia="標楷體" w:hAnsi="標楷體"/>
                <w:szCs w:val="24"/>
              </w:rPr>
              <w:t>元。</w:t>
            </w:r>
          </w:p>
        </w:tc>
        <w:tc>
          <w:tcPr>
            <w:tcW w:w="368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C509C" w:rsidRDefault="004C509C"/>
        </w:tc>
      </w:tr>
      <w:tr w:rsidR="00CA2820">
        <w:tblPrEx>
          <w:tblCellMar>
            <w:top w:w="0" w:type="dxa"/>
            <w:bottom w:w="0" w:type="dxa"/>
          </w:tblCellMar>
        </w:tblPrEx>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CA2820">
            <w:pPr>
              <w:pStyle w:val="Standard"/>
              <w:tabs>
                <w:tab w:val="left" w:pos="6240"/>
              </w:tabs>
              <w:rPr>
                <w:rFonts w:ascii="標楷體" w:eastAsia="標楷體" w:hAnsi="標楷體"/>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both"/>
            </w:pPr>
            <w:r>
              <w:rPr>
                <w:rFonts w:ascii="標楷體" w:eastAsia="標楷體" w:hAnsi="標楷體"/>
                <w:szCs w:val="24"/>
              </w:rPr>
              <w:t>兼任協同計畫主持人</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both"/>
            </w:pPr>
            <w:r>
              <w:rPr>
                <w:rFonts w:ascii="標楷體" w:eastAsia="標楷體" w:hAnsi="標楷體"/>
                <w:szCs w:val="24"/>
              </w:rPr>
              <w:t>每人月薪資</w:t>
            </w:r>
            <w:r>
              <w:rPr>
                <w:rFonts w:ascii="標楷體" w:eastAsia="標楷體" w:hAnsi="標楷體"/>
                <w:szCs w:val="24"/>
              </w:rPr>
              <w:t>5,000</w:t>
            </w:r>
            <w:r>
              <w:rPr>
                <w:rFonts w:ascii="標楷體" w:eastAsia="標楷體" w:hAnsi="標楷體"/>
                <w:szCs w:val="24"/>
              </w:rPr>
              <w:t>元至</w:t>
            </w:r>
            <w:r>
              <w:rPr>
                <w:rFonts w:ascii="標楷體" w:eastAsia="標楷體" w:hAnsi="標楷體"/>
                <w:szCs w:val="24"/>
              </w:rPr>
              <w:t>7,000</w:t>
            </w:r>
            <w:r>
              <w:rPr>
                <w:rFonts w:ascii="標楷體" w:eastAsia="標楷體" w:hAnsi="標楷體"/>
                <w:szCs w:val="24"/>
              </w:rPr>
              <w:t>元。</w:t>
            </w:r>
          </w:p>
        </w:tc>
        <w:tc>
          <w:tcPr>
            <w:tcW w:w="368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C509C" w:rsidRDefault="004C509C"/>
        </w:tc>
      </w:tr>
      <w:tr w:rsidR="00CA2820">
        <w:tblPrEx>
          <w:tblCellMar>
            <w:top w:w="0" w:type="dxa"/>
            <w:bottom w:w="0" w:type="dxa"/>
          </w:tblCellMar>
        </w:tblPrEx>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CA2820">
            <w:pPr>
              <w:pStyle w:val="Standard"/>
              <w:tabs>
                <w:tab w:val="left" w:pos="6240"/>
              </w:tabs>
              <w:rPr>
                <w:rFonts w:ascii="標楷體" w:eastAsia="標楷體" w:hAnsi="標楷體"/>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both"/>
            </w:pPr>
            <w:r>
              <w:rPr>
                <w:rFonts w:ascii="標楷體" w:eastAsia="標楷體" w:hAnsi="標楷體"/>
                <w:szCs w:val="24"/>
              </w:rPr>
              <w:t>兼任行政助理</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both"/>
            </w:pPr>
            <w:r>
              <w:rPr>
                <w:rFonts w:ascii="標楷體" w:eastAsia="標楷體" w:hAnsi="標楷體"/>
                <w:szCs w:val="24"/>
              </w:rPr>
              <w:t>每人月薪資</w:t>
            </w:r>
            <w:r>
              <w:rPr>
                <w:rFonts w:ascii="標楷體" w:eastAsia="標楷體" w:hAnsi="標楷體"/>
                <w:szCs w:val="24"/>
              </w:rPr>
              <w:t>4,000</w:t>
            </w:r>
            <w:r>
              <w:rPr>
                <w:rFonts w:ascii="標楷體" w:eastAsia="標楷體" w:hAnsi="標楷體"/>
                <w:szCs w:val="24"/>
              </w:rPr>
              <w:t>元至</w:t>
            </w:r>
            <w:r>
              <w:rPr>
                <w:rFonts w:ascii="標楷體" w:eastAsia="標楷體" w:hAnsi="標楷體"/>
                <w:szCs w:val="24"/>
              </w:rPr>
              <w:t>6,000</w:t>
            </w:r>
            <w:r>
              <w:rPr>
                <w:rFonts w:ascii="標楷體" w:eastAsia="標楷體" w:hAnsi="標楷體"/>
                <w:szCs w:val="24"/>
              </w:rPr>
              <w:t>元。</w:t>
            </w:r>
          </w:p>
        </w:tc>
        <w:tc>
          <w:tcPr>
            <w:tcW w:w="368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C509C" w:rsidRDefault="004C509C"/>
        </w:tc>
      </w:tr>
      <w:tr w:rsidR="00CA2820">
        <w:tblPrEx>
          <w:tblCellMar>
            <w:top w:w="0" w:type="dxa"/>
            <w:bottom w:w="0" w:type="dxa"/>
          </w:tblCellMar>
        </w:tblPrEx>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CA2820">
            <w:pPr>
              <w:pStyle w:val="Standard"/>
              <w:tabs>
                <w:tab w:val="left" w:pos="6240"/>
              </w:tabs>
              <w:rPr>
                <w:rFonts w:ascii="標楷體" w:eastAsia="標楷體" w:hAnsi="標楷體"/>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both"/>
            </w:pPr>
            <w:r>
              <w:rPr>
                <w:rFonts w:ascii="標楷體" w:eastAsia="標楷體" w:hAnsi="標楷體"/>
                <w:szCs w:val="24"/>
              </w:rPr>
              <w:t>專任行政助理</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both"/>
            </w:pPr>
            <w:r>
              <w:rPr>
                <w:rFonts w:ascii="標楷體" w:eastAsia="標楷體" w:hAnsi="標楷體"/>
                <w:szCs w:val="24"/>
              </w:rPr>
              <w:t>由執行單位考量工作內容、專業技能、獨立作業能力、相關經驗年資及預期績效表現等條件，自訂專任行政助理工作酬金標準核實支給。</w:t>
            </w:r>
            <w:r>
              <w:rPr>
                <w:rFonts w:ascii="標楷體" w:eastAsia="標楷體" w:hAnsi="標楷體"/>
                <w:szCs w:val="24"/>
              </w:rPr>
              <w:t>12</w:t>
            </w:r>
            <w:r>
              <w:rPr>
                <w:rFonts w:ascii="標楷體" w:eastAsia="標楷體" w:hAnsi="標楷體"/>
                <w:szCs w:val="24"/>
              </w:rPr>
              <w:t>月</w:t>
            </w:r>
            <w:r>
              <w:rPr>
                <w:rFonts w:ascii="標楷體" w:eastAsia="標楷體" w:hAnsi="標楷體"/>
                <w:szCs w:val="24"/>
              </w:rPr>
              <w:t>1</w:t>
            </w:r>
            <w:r>
              <w:rPr>
                <w:rFonts w:ascii="標楷體" w:eastAsia="標楷體" w:hAnsi="標楷體"/>
                <w:szCs w:val="24"/>
              </w:rPr>
              <w:t>日仍在職者，始得按當年工作月數依比率編列年終獎金。年終獎金</w:t>
            </w:r>
            <w:r>
              <w:rPr>
                <w:rFonts w:ascii="標楷體" w:eastAsia="標楷體" w:hAnsi="標楷體"/>
                <w:szCs w:val="24"/>
              </w:rPr>
              <w:t>1</w:t>
            </w:r>
            <w:r>
              <w:rPr>
                <w:rFonts w:ascii="標楷體" w:eastAsia="標楷體" w:hAnsi="標楷體"/>
                <w:szCs w:val="24"/>
              </w:rPr>
              <w:t>年以</w:t>
            </w:r>
            <w:r>
              <w:rPr>
                <w:rFonts w:ascii="標楷體" w:eastAsia="標楷體" w:hAnsi="標楷體"/>
                <w:szCs w:val="24"/>
              </w:rPr>
              <w:t>1.5</w:t>
            </w:r>
            <w:r>
              <w:rPr>
                <w:rFonts w:ascii="標楷體" w:eastAsia="標楷體" w:hAnsi="標楷體"/>
                <w:szCs w:val="24"/>
              </w:rPr>
              <w:t>個月為限。</w:t>
            </w:r>
          </w:p>
        </w:tc>
        <w:tc>
          <w:tcPr>
            <w:tcW w:w="368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C509C" w:rsidRDefault="004C509C"/>
        </w:tc>
      </w:tr>
      <w:tr w:rsidR="00CA2820">
        <w:tblPrEx>
          <w:tblCellMar>
            <w:top w:w="0" w:type="dxa"/>
            <w:bottom w:w="0" w:type="dxa"/>
          </w:tblCellMar>
        </w:tblPrEx>
        <w:trPr>
          <w:trHeight w:val="956"/>
        </w:trPr>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CA2820">
            <w:pPr>
              <w:pStyle w:val="Standard"/>
              <w:tabs>
                <w:tab w:val="left" w:pos="6240"/>
              </w:tabs>
              <w:rPr>
                <w:rFonts w:ascii="標楷體" w:eastAsia="標楷體" w:hAnsi="標楷體"/>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CA2820">
            <w:pPr>
              <w:pStyle w:val="Standard"/>
              <w:tabs>
                <w:tab w:val="left" w:pos="6240"/>
              </w:tabs>
              <w:rPr>
                <w:rFonts w:ascii="標楷體" w:eastAsia="標楷體" w:hAnsi="標楷體"/>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CA2820">
            <w:pPr>
              <w:pStyle w:val="Standard"/>
              <w:tabs>
                <w:tab w:val="left" w:pos="6240"/>
              </w:tabs>
              <w:rPr>
                <w:rFonts w:ascii="標楷體" w:eastAsia="標楷體" w:hAnsi="標楷體"/>
                <w:szCs w:val="24"/>
              </w:rPr>
            </w:pPr>
          </w:p>
        </w:tc>
        <w:tc>
          <w:tcPr>
            <w:tcW w:w="3688"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C509C" w:rsidRDefault="004C509C"/>
        </w:tc>
      </w:tr>
      <w:tr w:rsidR="00CA2820">
        <w:tblPrEx>
          <w:tblCellMar>
            <w:top w:w="0" w:type="dxa"/>
            <w:bottom w:w="0" w:type="dxa"/>
          </w:tblCellMar>
        </w:tblPrEx>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960"/>
              </w:tabs>
              <w:jc w:val="both"/>
            </w:pPr>
            <w:r>
              <w:rPr>
                <w:rFonts w:eastAsia="標楷體"/>
              </w:rPr>
              <w:t>二、</w:t>
            </w:r>
            <w:r>
              <w:rPr>
                <w:rFonts w:ascii="標楷體" w:eastAsia="標楷體" w:hAnsi="標楷體"/>
                <w:szCs w:val="24"/>
              </w:rPr>
              <w:t>業務費</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CA2820">
            <w:pPr>
              <w:pStyle w:val="Standard"/>
              <w:tabs>
                <w:tab w:val="left" w:pos="6240"/>
              </w:tabs>
              <w:rPr>
                <w:rFonts w:ascii="標楷體" w:eastAsia="標楷體" w:hAnsi="標楷體"/>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CA2820">
            <w:pPr>
              <w:pStyle w:val="Standard"/>
              <w:tabs>
                <w:tab w:val="left" w:pos="6240"/>
              </w:tabs>
              <w:rPr>
                <w:rFonts w:ascii="標楷體" w:eastAsia="標楷體" w:hAnsi="標楷體"/>
                <w:szCs w:val="24"/>
              </w:rPr>
            </w:pP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CA2820">
            <w:pPr>
              <w:pStyle w:val="Standard"/>
              <w:tabs>
                <w:tab w:val="left" w:pos="6240"/>
              </w:tabs>
              <w:jc w:val="both"/>
              <w:rPr>
                <w:rFonts w:ascii="標楷體" w:eastAsia="標楷體" w:hAnsi="標楷體"/>
                <w:szCs w:val="24"/>
              </w:rPr>
            </w:pPr>
          </w:p>
        </w:tc>
      </w:tr>
      <w:tr w:rsidR="00CA2820">
        <w:tblPrEx>
          <w:tblCellMar>
            <w:top w:w="0" w:type="dxa"/>
            <w:bottom w:w="0" w:type="dxa"/>
          </w:tblCellMar>
        </w:tblPrEx>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960"/>
              </w:tabs>
              <w:jc w:val="right"/>
            </w:pPr>
            <w:r>
              <w:rPr>
                <w:rFonts w:ascii="標楷體" w:eastAsia="標楷體" w:hAnsi="標楷體"/>
                <w:szCs w:val="24"/>
              </w:rPr>
              <w:t>(</w:t>
            </w:r>
            <w:proofErr w:type="gramStart"/>
            <w:r>
              <w:rPr>
                <w:rFonts w:ascii="標楷體" w:eastAsia="標楷體" w:hAnsi="標楷體"/>
                <w:szCs w:val="24"/>
              </w:rPr>
              <w:t>ㄧ</w:t>
            </w:r>
            <w:proofErr w:type="gramEnd"/>
            <w:r>
              <w:rPr>
                <w:rFonts w:ascii="標楷體" w:eastAsia="標楷體" w:hAnsi="標楷體"/>
                <w:szCs w:val="24"/>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rPr>
                <w:rFonts w:ascii="標楷體" w:eastAsia="標楷體" w:hAnsi="標楷體"/>
                <w:szCs w:val="24"/>
              </w:rPr>
            </w:pPr>
            <w:r>
              <w:rPr>
                <w:rFonts w:ascii="標楷體" w:eastAsia="標楷體" w:hAnsi="標楷體"/>
                <w:szCs w:val="24"/>
              </w:rPr>
              <w:t>出席費、稿費</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both"/>
              <w:rPr>
                <w:rFonts w:ascii="標楷體" w:eastAsia="標楷體" w:hAnsi="標楷體"/>
                <w:szCs w:val="24"/>
              </w:rPr>
            </w:pPr>
            <w:r>
              <w:rPr>
                <w:rFonts w:ascii="標楷體" w:eastAsia="標楷體" w:hAnsi="標楷體"/>
                <w:szCs w:val="24"/>
              </w:rPr>
              <w:t>依「中央政府各機關學校出席費及稿費支給要點」核實編列。</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both"/>
            </w:pPr>
            <w:r>
              <w:rPr>
                <w:rFonts w:ascii="標楷體" w:eastAsia="標楷體" w:hAnsi="標楷體"/>
                <w:szCs w:val="24"/>
              </w:rPr>
              <w:t>本部人員出席補（捐）助計畫、委辦計畫</w:t>
            </w:r>
            <w:proofErr w:type="gramStart"/>
            <w:r>
              <w:rPr>
                <w:rFonts w:ascii="標楷體" w:eastAsia="標楷體" w:hAnsi="標楷體"/>
                <w:szCs w:val="24"/>
              </w:rPr>
              <w:t>或受補</w:t>
            </w:r>
            <w:proofErr w:type="gramEnd"/>
            <w:r>
              <w:rPr>
                <w:rFonts w:ascii="標楷體" w:eastAsia="標楷體" w:hAnsi="標楷體"/>
                <w:szCs w:val="24"/>
              </w:rPr>
              <w:t>（捐）助計畫之相關會議，不得支領出席費；處理計畫有關文件資料之撰稿、譯稿、</w:t>
            </w:r>
            <w:proofErr w:type="gramStart"/>
            <w:r>
              <w:rPr>
                <w:rFonts w:ascii="標楷體" w:eastAsia="標楷體" w:hAnsi="標楷體"/>
                <w:szCs w:val="24"/>
              </w:rPr>
              <w:t>編稿</w:t>
            </w:r>
            <w:proofErr w:type="gramEnd"/>
            <w:r>
              <w:rPr>
                <w:rFonts w:ascii="標楷體" w:eastAsia="標楷體" w:hAnsi="標楷體"/>
                <w:szCs w:val="24"/>
              </w:rPr>
              <w:t>、校對及審查等工作，不得支領稿費。</w:t>
            </w:r>
          </w:p>
        </w:tc>
      </w:tr>
      <w:tr w:rsidR="00CA2820">
        <w:tblPrEx>
          <w:tblCellMar>
            <w:top w:w="0" w:type="dxa"/>
            <w:bottom w:w="0" w:type="dxa"/>
          </w:tblCellMar>
        </w:tblPrEx>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960"/>
              </w:tabs>
              <w:jc w:val="right"/>
            </w:pPr>
            <w:r>
              <w:rPr>
                <w:rFonts w:ascii="標楷體" w:eastAsia="標楷體" w:hAnsi="標楷體"/>
                <w:szCs w:val="24"/>
              </w:rPr>
              <w:t>(</w:t>
            </w:r>
            <w:r>
              <w:rPr>
                <w:rFonts w:ascii="標楷體" w:eastAsia="標楷體" w:hAnsi="標楷體"/>
                <w:szCs w:val="24"/>
              </w:rPr>
              <w:t>二</w:t>
            </w:r>
            <w:r>
              <w:rPr>
                <w:rFonts w:ascii="標楷體" w:eastAsia="標楷體" w:hAnsi="標楷體"/>
                <w:szCs w:val="24"/>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rPr>
                <w:rFonts w:ascii="標楷體" w:eastAsia="標楷體" w:hAnsi="標楷體"/>
                <w:szCs w:val="24"/>
              </w:rPr>
            </w:pPr>
            <w:r>
              <w:rPr>
                <w:rFonts w:ascii="標楷體" w:eastAsia="標楷體" w:hAnsi="標楷體"/>
                <w:szCs w:val="24"/>
              </w:rPr>
              <w:t>講座鐘點費</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rPr>
                <w:rFonts w:ascii="標楷體" w:eastAsia="標楷體" w:hAnsi="標楷體"/>
                <w:szCs w:val="24"/>
              </w:rPr>
            </w:pPr>
            <w:r>
              <w:rPr>
                <w:rFonts w:ascii="標楷體" w:eastAsia="標楷體" w:hAnsi="標楷體"/>
                <w:szCs w:val="24"/>
              </w:rPr>
              <w:t>依「講座鐘點費</w:t>
            </w:r>
            <w:proofErr w:type="gramStart"/>
            <w:r>
              <w:rPr>
                <w:rFonts w:ascii="標楷體" w:eastAsia="標楷體" w:hAnsi="標楷體"/>
                <w:szCs w:val="24"/>
              </w:rPr>
              <w:t>支給表</w:t>
            </w:r>
            <w:proofErr w:type="gramEnd"/>
            <w:r>
              <w:rPr>
                <w:rFonts w:ascii="標楷體" w:eastAsia="標楷體" w:hAnsi="標楷體"/>
                <w:szCs w:val="24"/>
              </w:rPr>
              <w:t>」核實編列。</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1452"/>
              </w:tabs>
              <w:ind w:left="458" w:hanging="503"/>
              <w:jc w:val="both"/>
              <w:rPr>
                <w:rFonts w:ascii="標楷體" w:eastAsia="標楷體" w:hAnsi="標楷體"/>
                <w:szCs w:val="24"/>
              </w:rPr>
            </w:pPr>
            <w:r>
              <w:rPr>
                <w:rFonts w:ascii="標楷體" w:eastAsia="標楷體" w:hAnsi="標楷體"/>
                <w:szCs w:val="24"/>
              </w:rPr>
              <w:t>一、本部人員除實際擔任授課講座，得</w:t>
            </w:r>
            <w:proofErr w:type="gramStart"/>
            <w:r>
              <w:rPr>
                <w:rFonts w:ascii="標楷體" w:eastAsia="標楷體" w:hAnsi="標楷體"/>
                <w:szCs w:val="24"/>
              </w:rPr>
              <w:t>依內聘講座</w:t>
            </w:r>
            <w:proofErr w:type="gramEnd"/>
            <w:r>
              <w:rPr>
                <w:rFonts w:ascii="標楷體" w:eastAsia="標楷體" w:hAnsi="標楷體"/>
                <w:szCs w:val="24"/>
              </w:rPr>
              <w:t>標準支領鐘點費及交通費外，不得支領任何酬勞。</w:t>
            </w:r>
          </w:p>
          <w:p w:rsidR="00CA2820" w:rsidRDefault="004C509C">
            <w:pPr>
              <w:pStyle w:val="Standard"/>
              <w:tabs>
                <w:tab w:val="left" w:pos="1452"/>
              </w:tabs>
              <w:ind w:left="458" w:hanging="503"/>
              <w:jc w:val="both"/>
            </w:pPr>
            <w:r>
              <w:rPr>
                <w:rFonts w:ascii="標楷體" w:eastAsia="標楷體" w:hAnsi="標楷體"/>
                <w:szCs w:val="24"/>
              </w:rPr>
              <w:t>二、補（捐）助計畫之業務推動屬執行單位本職工作，其人員實際擔任授課者，得</w:t>
            </w:r>
            <w:proofErr w:type="gramStart"/>
            <w:r>
              <w:rPr>
                <w:rFonts w:eastAsia="標楷體"/>
                <w:szCs w:val="24"/>
              </w:rPr>
              <w:t>依內聘講座</w:t>
            </w:r>
            <w:proofErr w:type="gramEnd"/>
            <w:r>
              <w:rPr>
                <w:rFonts w:eastAsia="標楷體"/>
                <w:szCs w:val="24"/>
              </w:rPr>
              <w:t>標準支領鐘點費</w:t>
            </w:r>
            <w:r>
              <w:rPr>
                <w:rFonts w:ascii="標楷體" w:eastAsia="標楷體" w:hAnsi="標楷體"/>
                <w:szCs w:val="24"/>
              </w:rPr>
              <w:t>。</w:t>
            </w:r>
          </w:p>
          <w:p w:rsidR="00CA2820" w:rsidRDefault="004C509C">
            <w:pPr>
              <w:pStyle w:val="Standard"/>
              <w:tabs>
                <w:tab w:val="left" w:pos="1452"/>
              </w:tabs>
              <w:ind w:left="458" w:hanging="503"/>
              <w:jc w:val="both"/>
            </w:pPr>
            <w:r>
              <w:rPr>
                <w:rFonts w:ascii="標楷體" w:eastAsia="標楷體" w:hAnsi="標楷體"/>
                <w:szCs w:val="24"/>
              </w:rPr>
              <w:t>三、邀請國外專家學者來</w:t>
            </w:r>
            <w:proofErr w:type="gramStart"/>
            <w:r>
              <w:rPr>
                <w:rFonts w:ascii="標楷體" w:eastAsia="標楷體" w:hAnsi="標楷體"/>
                <w:szCs w:val="24"/>
              </w:rPr>
              <w:t>臺</w:t>
            </w:r>
            <w:proofErr w:type="gramEnd"/>
            <w:r>
              <w:rPr>
                <w:rFonts w:ascii="標楷體" w:eastAsia="標楷體" w:hAnsi="標楷體"/>
                <w:szCs w:val="24"/>
              </w:rPr>
              <w:t>擔任講座之鐘點費支給數額，得由主辦機關衡酌國外專家學者國際聲譽、學術地位、課程內容及延聘難易程度等相關條件自行訂定。</w:t>
            </w:r>
          </w:p>
        </w:tc>
      </w:tr>
      <w:tr w:rsidR="00CA2820">
        <w:tblPrEx>
          <w:tblCellMar>
            <w:top w:w="0" w:type="dxa"/>
            <w:bottom w:w="0" w:type="dxa"/>
          </w:tblCellMar>
        </w:tblPrEx>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right"/>
            </w:pPr>
            <w:r>
              <w:rPr>
                <w:rFonts w:ascii="標楷體" w:eastAsia="標楷體" w:hAnsi="標楷體"/>
                <w:szCs w:val="24"/>
              </w:rPr>
              <w:t>(</w:t>
            </w:r>
            <w:r>
              <w:rPr>
                <w:rFonts w:ascii="標楷體" w:eastAsia="標楷體" w:hAnsi="標楷體"/>
                <w:szCs w:val="24"/>
              </w:rPr>
              <w:t>三</w:t>
            </w:r>
            <w:r>
              <w:rPr>
                <w:rFonts w:ascii="標楷體" w:eastAsia="標楷體" w:hAnsi="標楷體"/>
                <w:szCs w:val="24"/>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both"/>
            </w:pPr>
            <w:r>
              <w:rPr>
                <w:rFonts w:ascii="標楷體" w:eastAsia="標楷體" w:hAnsi="標楷體"/>
                <w:szCs w:val="24"/>
              </w:rPr>
              <w:t>主持費、引言費</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Textbody"/>
              <w:jc w:val="both"/>
            </w:pPr>
            <w:r>
              <w:rPr>
                <w:szCs w:val="24"/>
                <w:u w:val="none"/>
              </w:rPr>
              <w:t>得比照「中央政府各機關學校出席費及稿費支給要點」規定出席費編列基準。</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both"/>
            </w:pPr>
            <w:r>
              <w:rPr>
                <w:rFonts w:ascii="標楷體" w:eastAsia="標楷體" w:hAnsi="標楷體"/>
                <w:szCs w:val="24"/>
              </w:rPr>
              <w:t>舉辦專題研習或論壇之主持費、引言費屬之。</w:t>
            </w:r>
          </w:p>
        </w:tc>
      </w:tr>
      <w:tr w:rsidR="00CA2820">
        <w:tblPrEx>
          <w:tblCellMar>
            <w:top w:w="0" w:type="dxa"/>
            <w:bottom w:w="0" w:type="dxa"/>
          </w:tblCellMar>
        </w:tblPrEx>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right"/>
            </w:pPr>
            <w:r>
              <w:rPr>
                <w:rFonts w:ascii="標楷體" w:eastAsia="標楷體" w:hAnsi="標楷體"/>
                <w:szCs w:val="24"/>
              </w:rPr>
              <w:t>(</w:t>
            </w:r>
            <w:r>
              <w:rPr>
                <w:rFonts w:ascii="標楷體" w:eastAsia="標楷體" w:hAnsi="標楷體"/>
                <w:szCs w:val="24"/>
              </w:rPr>
              <w:t>四</w:t>
            </w:r>
            <w:r>
              <w:rPr>
                <w:rFonts w:ascii="標楷體" w:eastAsia="標楷體" w:hAnsi="標楷體"/>
                <w:szCs w:val="24"/>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both"/>
            </w:pPr>
            <w:r>
              <w:rPr>
                <w:rFonts w:ascii="標楷體" w:eastAsia="標楷體" w:hAnsi="標楷體"/>
                <w:szCs w:val="24"/>
              </w:rPr>
              <w:t>諮詢費、輔導費、指導費</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both"/>
            </w:pPr>
            <w:r>
              <w:rPr>
                <w:rFonts w:ascii="標楷體" w:eastAsia="標楷體" w:hAnsi="標楷體"/>
                <w:szCs w:val="24"/>
              </w:rPr>
              <w:t>得比照「</w:t>
            </w:r>
            <w:r>
              <w:rPr>
                <w:rFonts w:ascii="標楷體" w:eastAsia="標楷體" w:hAnsi="標楷體" w:cs="標楷體"/>
                <w:szCs w:val="24"/>
              </w:rPr>
              <w:t>中央政府各機關學校出席費及稿費支給要點</w:t>
            </w:r>
            <w:r>
              <w:rPr>
                <w:rFonts w:ascii="標楷體" w:eastAsia="標楷體" w:hAnsi="標楷體"/>
                <w:szCs w:val="24"/>
              </w:rPr>
              <w:t>」規定出席費編列基準。</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CA2820">
            <w:pPr>
              <w:pStyle w:val="Standard"/>
              <w:tabs>
                <w:tab w:val="left" w:pos="6240"/>
              </w:tabs>
              <w:jc w:val="both"/>
            </w:pPr>
          </w:p>
        </w:tc>
      </w:tr>
      <w:tr w:rsidR="00CA2820">
        <w:tblPrEx>
          <w:tblCellMar>
            <w:top w:w="0" w:type="dxa"/>
            <w:bottom w:w="0" w:type="dxa"/>
          </w:tblCellMar>
        </w:tblPrEx>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right"/>
            </w:pPr>
            <w:r>
              <w:rPr>
                <w:rFonts w:ascii="標楷體" w:eastAsia="標楷體" w:hAnsi="標楷體"/>
                <w:szCs w:val="24"/>
              </w:rPr>
              <w:t>(</w:t>
            </w:r>
            <w:r>
              <w:rPr>
                <w:rFonts w:ascii="標楷體" w:eastAsia="標楷體" w:hAnsi="標楷體"/>
                <w:szCs w:val="24"/>
              </w:rPr>
              <w:t>五</w:t>
            </w:r>
            <w:r>
              <w:rPr>
                <w:rFonts w:ascii="標楷體" w:eastAsia="標楷體" w:hAnsi="標楷體"/>
                <w:szCs w:val="24"/>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both"/>
            </w:pPr>
            <w:r>
              <w:rPr>
                <w:rFonts w:ascii="標楷體" w:eastAsia="標楷體" w:hAnsi="標楷體"/>
                <w:szCs w:val="24"/>
              </w:rPr>
              <w:t>臨時工作人員</w:t>
            </w:r>
            <w:r>
              <w:rPr>
                <w:rFonts w:ascii="標楷體" w:eastAsia="標楷體" w:hAnsi="標楷體"/>
                <w:szCs w:val="24"/>
              </w:rPr>
              <w:t>/</w:t>
            </w:r>
            <w:r>
              <w:rPr>
                <w:rFonts w:ascii="標楷體" w:eastAsia="標楷體" w:hAnsi="標楷體"/>
                <w:szCs w:val="24"/>
              </w:rPr>
              <w:t>工讀費</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both"/>
            </w:pPr>
            <w:r>
              <w:rPr>
                <w:rFonts w:ascii="標楷體" w:eastAsia="標楷體" w:hAnsi="標楷體"/>
              </w:rPr>
              <w:t>薪資</w:t>
            </w:r>
            <w:r>
              <w:rPr>
                <w:rFonts w:ascii="標楷體" w:eastAsia="標楷體" w:hAnsi="標楷體"/>
              </w:rPr>
              <w:t>以現行勞動基準法所訂最低基本工資</w:t>
            </w:r>
            <w:r>
              <w:rPr>
                <w:rFonts w:ascii="標楷體" w:eastAsia="標楷體" w:hAnsi="標楷體"/>
              </w:rPr>
              <w:t>1.2</w:t>
            </w:r>
            <w:r>
              <w:rPr>
                <w:rFonts w:ascii="標楷體" w:eastAsia="標楷體" w:hAnsi="標楷體"/>
              </w:rPr>
              <w:t>倍為支給上限，然不得低於勞動基準法所訂之最低基本工資。但大專校</w:t>
            </w:r>
            <w:proofErr w:type="gramStart"/>
            <w:r>
              <w:rPr>
                <w:rFonts w:ascii="標楷體" w:eastAsia="標楷體" w:hAnsi="標楷體"/>
              </w:rPr>
              <w:t>院如訂有</w:t>
            </w:r>
            <w:proofErr w:type="gramEnd"/>
            <w:r>
              <w:rPr>
                <w:rFonts w:ascii="標楷體" w:eastAsia="標楷體" w:hAnsi="標楷體"/>
              </w:rPr>
              <w:t>支給規定者，得依其規定支給。</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1452"/>
              </w:tabs>
              <w:ind w:left="458" w:hanging="503"/>
              <w:jc w:val="both"/>
              <w:rPr>
                <w:rFonts w:ascii="標楷體" w:eastAsia="標楷體" w:hAnsi="標楷體"/>
                <w:szCs w:val="24"/>
              </w:rPr>
            </w:pPr>
            <w:r>
              <w:rPr>
                <w:rFonts w:ascii="標楷體" w:eastAsia="標楷體" w:hAnsi="標楷體"/>
                <w:szCs w:val="24"/>
              </w:rPr>
              <w:t>一、應依工作內容及性質核實編列。</w:t>
            </w:r>
          </w:p>
          <w:p w:rsidR="00CA2820" w:rsidRDefault="004C509C">
            <w:pPr>
              <w:pStyle w:val="Standard"/>
              <w:tabs>
                <w:tab w:val="left" w:pos="1452"/>
              </w:tabs>
              <w:ind w:left="458" w:hanging="503"/>
              <w:jc w:val="both"/>
            </w:pPr>
            <w:r>
              <w:rPr>
                <w:rFonts w:ascii="標楷體" w:eastAsia="標楷體" w:hAnsi="標楷體"/>
                <w:szCs w:val="24"/>
              </w:rPr>
              <w:t>二、所列費用應包括薪資、退休金、保險及其他依法應給予項目。</w:t>
            </w:r>
          </w:p>
        </w:tc>
      </w:tr>
      <w:tr w:rsidR="00CA2820">
        <w:tblPrEx>
          <w:tblCellMar>
            <w:top w:w="0" w:type="dxa"/>
            <w:bottom w:w="0" w:type="dxa"/>
          </w:tblCellMar>
        </w:tblPrEx>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right"/>
            </w:pPr>
            <w:r>
              <w:rPr>
                <w:rFonts w:ascii="標楷體" w:eastAsia="標楷體" w:hAnsi="標楷體"/>
                <w:szCs w:val="24"/>
              </w:rPr>
              <w:t>(</w:t>
            </w:r>
            <w:r>
              <w:rPr>
                <w:rFonts w:ascii="標楷體" w:eastAsia="標楷體" w:hAnsi="標楷體"/>
                <w:szCs w:val="24"/>
              </w:rPr>
              <w:t>六</w:t>
            </w:r>
            <w:r>
              <w:rPr>
                <w:rFonts w:ascii="標楷體" w:eastAsia="標楷體" w:hAnsi="標楷體"/>
                <w:szCs w:val="24"/>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both"/>
            </w:pPr>
            <w:r>
              <w:rPr>
                <w:rFonts w:ascii="標楷體" w:eastAsia="標楷體" w:hAnsi="標楷體"/>
                <w:szCs w:val="24"/>
              </w:rPr>
              <w:t>資料蒐集費</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both"/>
            </w:pPr>
            <w:r>
              <w:rPr>
                <w:rFonts w:ascii="標楷體" w:eastAsia="標楷體" w:hAnsi="標楷體"/>
                <w:color w:val="000000"/>
                <w:szCs w:val="24"/>
              </w:rPr>
              <w:t>上限</w:t>
            </w:r>
            <w:r>
              <w:rPr>
                <w:rFonts w:ascii="標楷體" w:eastAsia="標楷體" w:hAnsi="標楷體"/>
                <w:color w:val="000000"/>
                <w:szCs w:val="24"/>
              </w:rPr>
              <w:t>5</w:t>
            </w:r>
            <w:r>
              <w:rPr>
                <w:rFonts w:ascii="標楷體" w:eastAsia="標楷體" w:hAnsi="標楷體"/>
                <w:color w:val="000000"/>
                <w:szCs w:val="24"/>
              </w:rPr>
              <w:t>萬元</w:t>
            </w:r>
            <w:r>
              <w:rPr>
                <w:rFonts w:ascii="標楷體" w:eastAsia="標楷體" w:hAnsi="標楷體"/>
                <w:color w:val="000000"/>
              </w:rPr>
              <w:t>。</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1452"/>
              </w:tabs>
              <w:ind w:left="458" w:hanging="503"/>
              <w:jc w:val="both"/>
            </w:pPr>
            <w:r>
              <w:rPr>
                <w:rFonts w:ascii="標楷體" w:eastAsia="標楷體" w:hAnsi="標楷體"/>
                <w:szCs w:val="24"/>
              </w:rPr>
              <w:t>一、辦理計畫所需購置或影印參考圖書資料及系統數據資料檢索等屬之。</w:t>
            </w:r>
          </w:p>
          <w:p w:rsidR="00CA2820" w:rsidRDefault="004C509C">
            <w:pPr>
              <w:pStyle w:val="Standard"/>
              <w:tabs>
                <w:tab w:val="left" w:pos="1452"/>
              </w:tabs>
              <w:ind w:left="458" w:hanging="503"/>
              <w:jc w:val="both"/>
            </w:pPr>
            <w:r>
              <w:rPr>
                <w:rFonts w:ascii="標楷體" w:eastAsia="標楷體" w:hAnsi="標楷體"/>
                <w:szCs w:val="24"/>
              </w:rPr>
              <w:t>二、圖書之購置以具有專門性且與計畫直接有關者為限；每本（套）需低</w:t>
            </w:r>
            <w:r>
              <w:rPr>
                <w:rFonts w:ascii="標楷體" w:eastAsia="標楷體" w:hAnsi="標楷體"/>
                <w:color w:val="000000"/>
                <w:szCs w:val="24"/>
              </w:rPr>
              <w:t>於</w:t>
            </w:r>
            <w:r>
              <w:rPr>
                <w:rFonts w:ascii="標楷體" w:eastAsia="標楷體" w:hAnsi="標楷體"/>
                <w:color w:val="000000"/>
                <w:szCs w:val="24"/>
              </w:rPr>
              <w:t>1</w:t>
            </w:r>
            <w:r>
              <w:rPr>
                <w:rFonts w:ascii="標楷體" w:eastAsia="標楷體" w:hAnsi="標楷體"/>
                <w:color w:val="000000"/>
                <w:szCs w:val="24"/>
              </w:rPr>
              <w:t>萬</w:t>
            </w:r>
            <w:r>
              <w:rPr>
                <w:rFonts w:ascii="標楷體" w:eastAsia="標楷體" w:hAnsi="標楷體"/>
                <w:szCs w:val="24"/>
              </w:rPr>
              <w:t>元。</w:t>
            </w:r>
          </w:p>
          <w:p w:rsidR="00CA2820" w:rsidRDefault="004C509C">
            <w:pPr>
              <w:pStyle w:val="Standard"/>
              <w:tabs>
                <w:tab w:val="left" w:pos="1452"/>
              </w:tabs>
              <w:ind w:left="458" w:hanging="503"/>
              <w:jc w:val="both"/>
              <w:rPr>
                <w:rFonts w:ascii="標楷體" w:eastAsia="標楷體" w:hAnsi="標楷體"/>
                <w:szCs w:val="24"/>
              </w:rPr>
            </w:pPr>
            <w:r>
              <w:rPr>
                <w:rFonts w:ascii="標楷體" w:eastAsia="標楷體" w:hAnsi="標楷體"/>
                <w:szCs w:val="24"/>
              </w:rPr>
              <w:t>三、擬購圖書應詳列其名稱、數量、單價及總價於計畫申請書中。</w:t>
            </w:r>
          </w:p>
        </w:tc>
      </w:tr>
      <w:tr w:rsidR="00CA2820">
        <w:tblPrEx>
          <w:tblCellMar>
            <w:top w:w="0" w:type="dxa"/>
            <w:bottom w:w="0" w:type="dxa"/>
          </w:tblCellMar>
        </w:tblPrEx>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right"/>
            </w:pPr>
            <w:r>
              <w:rPr>
                <w:rFonts w:ascii="標楷體" w:eastAsia="標楷體" w:hAnsi="標楷體"/>
                <w:szCs w:val="24"/>
              </w:rPr>
              <w:t>(</w:t>
            </w:r>
            <w:r>
              <w:rPr>
                <w:rFonts w:ascii="標楷體" w:eastAsia="標楷體" w:hAnsi="標楷體"/>
                <w:szCs w:val="24"/>
              </w:rPr>
              <w:t>七</w:t>
            </w:r>
            <w:r>
              <w:rPr>
                <w:rFonts w:ascii="標楷體" w:eastAsia="標楷體" w:hAnsi="標楷體"/>
                <w:szCs w:val="24"/>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both"/>
            </w:pPr>
            <w:r>
              <w:rPr>
                <w:rFonts w:ascii="標楷體" w:eastAsia="標楷體" w:hAnsi="標楷體"/>
                <w:szCs w:val="24"/>
              </w:rPr>
              <w:t>膳宿費</w:t>
            </w:r>
          </w:p>
        </w:tc>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2820" w:rsidRDefault="004C509C">
            <w:pPr>
              <w:pStyle w:val="Standard"/>
              <w:tabs>
                <w:tab w:val="left" w:pos="6698"/>
              </w:tabs>
              <w:ind w:left="480" w:hanging="480"/>
              <w:jc w:val="both"/>
            </w:pPr>
            <w:r>
              <w:rPr>
                <w:rFonts w:ascii="標楷體" w:eastAsia="標楷體" w:hAnsi="標楷體"/>
                <w:szCs w:val="24"/>
              </w:rPr>
              <w:t>一、辦理各項會議、講習、研</w:t>
            </w:r>
            <w:r>
              <w:rPr>
                <w:rFonts w:ascii="標楷體" w:eastAsia="標楷體" w:hAnsi="標楷體"/>
                <w:szCs w:val="24"/>
              </w:rPr>
              <w:lastRenderedPageBreak/>
              <w:t>討（習）會等活動，每人每餐膳費上限</w:t>
            </w:r>
            <w:r>
              <w:rPr>
                <w:rFonts w:ascii="標楷體" w:eastAsia="標楷體" w:hAnsi="標楷體"/>
                <w:szCs w:val="24"/>
              </w:rPr>
              <w:t>120</w:t>
            </w:r>
            <w:r>
              <w:rPr>
                <w:rFonts w:ascii="標楷體" w:eastAsia="標楷體" w:hAnsi="標楷體"/>
                <w:szCs w:val="24"/>
              </w:rPr>
              <w:t>元，每人每日膳費上限</w:t>
            </w:r>
            <w:r>
              <w:rPr>
                <w:rFonts w:ascii="標楷體" w:eastAsia="標楷體" w:hAnsi="標楷體"/>
                <w:szCs w:val="24"/>
              </w:rPr>
              <w:t>280</w:t>
            </w:r>
            <w:r>
              <w:rPr>
                <w:rFonts w:ascii="標楷體" w:eastAsia="標楷體" w:hAnsi="標楷體"/>
                <w:szCs w:val="24"/>
              </w:rPr>
              <w:t>元。如活動期程達</w:t>
            </w:r>
            <w:r>
              <w:rPr>
                <w:rFonts w:ascii="標楷體" w:eastAsia="標楷體" w:hAnsi="標楷體"/>
                <w:szCs w:val="24"/>
              </w:rPr>
              <w:t>2</w:t>
            </w:r>
            <w:r>
              <w:rPr>
                <w:rFonts w:ascii="標楷體" w:eastAsia="標楷體" w:hAnsi="標楷體"/>
                <w:szCs w:val="24"/>
              </w:rPr>
              <w:t>日以上，第</w:t>
            </w:r>
            <w:r>
              <w:rPr>
                <w:rFonts w:ascii="標楷體" w:eastAsia="標楷體" w:hAnsi="標楷體"/>
                <w:szCs w:val="24"/>
              </w:rPr>
              <w:t>2</w:t>
            </w:r>
            <w:r>
              <w:rPr>
                <w:rFonts w:ascii="標楷體" w:eastAsia="標楷體" w:hAnsi="標楷體"/>
                <w:szCs w:val="24"/>
              </w:rPr>
              <w:t>日起得編列早餐</w:t>
            </w:r>
            <w:r>
              <w:rPr>
                <w:rFonts w:ascii="標楷體" w:eastAsia="標楷體" w:hAnsi="標楷體"/>
                <w:szCs w:val="24"/>
              </w:rPr>
              <w:t>60</w:t>
            </w:r>
            <w:r>
              <w:rPr>
                <w:rFonts w:ascii="標楷體" w:eastAsia="標楷體" w:hAnsi="標楷體"/>
                <w:szCs w:val="24"/>
              </w:rPr>
              <w:t>元。</w:t>
            </w:r>
          </w:p>
          <w:p w:rsidR="00CA2820" w:rsidRDefault="004C509C">
            <w:pPr>
              <w:pStyle w:val="Standard"/>
              <w:tabs>
                <w:tab w:val="left" w:pos="6698"/>
              </w:tabs>
              <w:ind w:left="480" w:hanging="480"/>
              <w:jc w:val="both"/>
            </w:pPr>
            <w:r>
              <w:rPr>
                <w:rFonts w:ascii="標楷體" w:eastAsia="標楷體" w:hAnsi="標楷體"/>
                <w:szCs w:val="24"/>
              </w:rPr>
              <w:t>二、前項活動如參加對象主要為機關（構）以外之人士，應業務需要，經本部同意者，每日膳費上限</w:t>
            </w:r>
            <w:r>
              <w:rPr>
                <w:rFonts w:ascii="標楷體" w:eastAsia="標楷體" w:hAnsi="標楷體"/>
                <w:szCs w:val="24"/>
              </w:rPr>
              <w:t>500</w:t>
            </w:r>
            <w:r>
              <w:rPr>
                <w:rFonts w:ascii="標楷體" w:eastAsia="標楷體" w:hAnsi="標楷體"/>
                <w:szCs w:val="24"/>
              </w:rPr>
              <w:t>元。</w:t>
            </w:r>
          </w:p>
          <w:p w:rsidR="00CA2820" w:rsidRDefault="004C509C">
            <w:pPr>
              <w:pStyle w:val="Standard"/>
              <w:tabs>
                <w:tab w:val="left" w:pos="6698"/>
              </w:tabs>
              <w:ind w:left="480" w:hanging="480"/>
              <w:jc w:val="both"/>
            </w:pPr>
            <w:r>
              <w:rPr>
                <w:rFonts w:ascii="標楷體" w:eastAsia="標楷體" w:hAnsi="標楷體"/>
                <w:szCs w:val="24"/>
              </w:rPr>
              <w:t>三、國內自行主辦或國際組織授權主辦之大型國際會議、研討會，且參加對象主要為機關（構）以外之人士，經本部同意者，每人每日膳費上限</w:t>
            </w:r>
            <w:r>
              <w:rPr>
                <w:rFonts w:ascii="標楷體" w:eastAsia="標楷體" w:hAnsi="標楷體"/>
                <w:szCs w:val="24"/>
              </w:rPr>
              <w:t>1,000</w:t>
            </w:r>
            <w:r>
              <w:rPr>
                <w:rFonts w:ascii="標楷體" w:eastAsia="標楷體" w:hAnsi="標楷體"/>
                <w:szCs w:val="24"/>
              </w:rPr>
              <w:t>元。</w:t>
            </w:r>
          </w:p>
          <w:p w:rsidR="00CA2820" w:rsidRDefault="004C509C">
            <w:pPr>
              <w:pStyle w:val="Standard"/>
              <w:tabs>
                <w:tab w:val="left" w:pos="6698"/>
              </w:tabs>
              <w:ind w:left="480" w:hanging="480"/>
              <w:jc w:val="both"/>
            </w:pPr>
            <w:r>
              <w:rPr>
                <w:rFonts w:ascii="標楷體" w:eastAsia="標楷體" w:hAnsi="標楷體"/>
                <w:szCs w:val="24"/>
              </w:rPr>
              <w:t>四、住宿費以國內出差旅費報支要點規定之標準為上限。</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1452"/>
              </w:tabs>
              <w:ind w:left="458" w:hanging="492"/>
              <w:jc w:val="both"/>
            </w:pPr>
            <w:r>
              <w:rPr>
                <w:rFonts w:ascii="標楷體" w:eastAsia="標楷體" w:hAnsi="標楷體"/>
                <w:szCs w:val="24"/>
              </w:rPr>
              <w:lastRenderedPageBreak/>
              <w:t>一、應本</w:t>
            </w:r>
            <w:proofErr w:type="gramStart"/>
            <w:r>
              <w:rPr>
                <w:rFonts w:ascii="標楷體" w:eastAsia="標楷體" w:hAnsi="標楷體"/>
                <w:szCs w:val="24"/>
              </w:rPr>
              <w:t>撙</w:t>
            </w:r>
            <w:proofErr w:type="gramEnd"/>
            <w:r>
              <w:rPr>
                <w:rFonts w:ascii="標楷體" w:eastAsia="標楷體" w:hAnsi="標楷體"/>
                <w:szCs w:val="24"/>
              </w:rPr>
              <w:t>節原則辦理，並得視</w:t>
            </w:r>
            <w:r>
              <w:rPr>
                <w:rFonts w:ascii="標楷體" w:eastAsia="標楷體" w:hAnsi="標楷體"/>
                <w:szCs w:val="24"/>
              </w:rPr>
              <w:lastRenderedPageBreak/>
              <w:t>實際需要依各基準核算之總額範圍內互相調整支應。</w:t>
            </w:r>
          </w:p>
          <w:p w:rsidR="00CA2820" w:rsidRDefault="004C509C">
            <w:pPr>
              <w:pStyle w:val="Standard"/>
              <w:tabs>
                <w:tab w:val="left" w:pos="1452"/>
              </w:tabs>
              <w:ind w:left="458" w:hanging="492"/>
              <w:jc w:val="both"/>
            </w:pPr>
            <w:r>
              <w:rPr>
                <w:rFonts w:eastAsia="標楷體"/>
              </w:rPr>
              <w:t>二、</w:t>
            </w:r>
            <w:r>
              <w:rPr>
                <w:rFonts w:ascii="標楷體" w:eastAsia="標楷體" w:hAnsi="標楷體"/>
                <w:szCs w:val="24"/>
              </w:rPr>
              <w:t>國外來</w:t>
            </w:r>
            <w:proofErr w:type="gramStart"/>
            <w:r>
              <w:rPr>
                <w:rFonts w:ascii="標楷體" w:eastAsia="標楷體" w:hAnsi="標楷體"/>
                <w:szCs w:val="24"/>
              </w:rPr>
              <w:t>臺</w:t>
            </w:r>
            <w:proofErr w:type="gramEnd"/>
            <w:r>
              <w:rPr>
                <w:rFonts w:ascii="標楷體" w:eastAsia="標楷體" w:hAnsi="標楷體"/>
                <w:szCs w:val="24"/>
              </w:rPr>
              <w:t>之外賓已依「各機關聘請國外顧問、專家及學者來</w:t>
            </w:r>
            <w:proofErr w:type="gramStart"/>
            <w:r>
              <w:rPr>
                <w:rFonts w:ascii="標楷體" w:eastAsia="標楷體" w:hAnsi="標楷體"/>
                <w:szCs w:val="24"/>
              </w:rPr>
              <w:t>臺</w:t>
            </w:r>
            <w:proofErr w:type="gramEnd"/>
            <w:r>
              <w:rPr>
                <w:rFonts w:ascii="標楷體" w:eastAsia="標楷體" w:hAnsi="標楷體"/>
                <w:szCs w:val="24"/>
              </w:rPr>
              <w:t>工作期間支付費用最高標準表」支領報酬</w:t>
            </w:r>
            <w:r>
              <w:rPr>
                <w:rFonts w:ascii="標楷體" w:eastAsia="標楷體" w:hAnsi="標楷體"/>
                <w:szCs w:val="24"/>
              </w:rPr>
              <w:t>(</w:t>
            </w:r>
            <w:r>
              <w:rPr>
                <w:rFonts w:ascii="標楷體" w:eastAsia="標楷體" w:hAnsi="標楷體"/>
                <w:szCs w:val="24"/>
              </w:rPr>
              <w:t>包括生活費</w:t>
            </w:r>
            <w:r>
              <w:rPr>
                <w:rFonts w:ascii="標楷體" w:eastAsia="標楷體" w:hAnsi="標楷體"/>
                <w:szCs w:val="24"/>
              </w:rPr>
              <w:t>)</w:t>
            </w:r>
            <w:r>
              <w:rPr>
                <w:rFonts w:ascii="標楷體" w:eastAsia="標楷體" w:hAnsi="標楷體"/>
                <w:szCs w:val="24"/>
              </w:rPr>
              <w:t>，如再另支膳宿費者，其支付費用總額仍不得超出前開規定標準。</w:t>
            </w:r>
          </w:p>
        </w:tc>
      </w:tr>
      <w:tr w:rsidR="00CA2820">
        <w:tblPrEx>
          <w:tblCellMar>
            <w:top w:w="0" w:type="dxa"/>
            <w:bottom w:w="0" w:type="dxa"/>
          </w:tblCellMar>
        </w:tblPrEx>
        <w:trPr>
          <w:trHeight w:val="857"/>
        </w:trPr>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right"/>
            </w:pPr>
            <w:r>
              <w:rPr>
                <w:rFonts w:ascii="標楷體" w:eastAsia="標楷體" w:hAnsi="標楷體"/>
                <w:szCs w:val="24"/>
              </w:rPr>
              <w:lastRenderedPageBreak/>
              <w:t>(</w:t>
            </w:r>
            <w:r>
              <w:rPr>
                <w:rFonts w:ascii="標楷體" w:eastAsia="標楷體" w:hAnsi="標楷體"/>
                <w:szCs w:val="24"/>
              </w:rPr>
              <w:t>八</w:t>
            </w:r>
            <w:r>
              <w:rPr>
                <w:rFonts w:ascii="標楷體" w:eastAsia="標楷體" w:hAnsi="標楷體"/>
                <w:szCs w:val="24"/>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both"/>
            </w:pPr>
            <w:r>
              <w:rPr>
                <w:rFonts w:ascii="標楷體" w:eastAsia="標楷體" w:hAnsi="標楷體"/>
                <w:szCs w:val="24"/>
              </w:rPr>
              <w:t>保險費</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both"/>
            </w:pPr>
            <w:r>
              <w:rPr>
                <w:rFonts w:ascii="標楷體" w:eastAsia="標楷體" w:hAnsi="標楷體"/>
                <w:szCs w:val="24"/>
              </w:rPr>
              <w:t>核實編列。</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both"/>
            </w:pPr>
            <w:r>
              <w:rPr>
                <w:rFonts w:ascii="標楷體" w:eastAsia="標楷體" w:hAnsi="標楷體"/>
                <w:szCs w:val="24"/>
              </w:rPr>
              <w:t>應視其計畫內容，評估活動屬性、場地、參與規模及其他相關事項，投保必要保險。</w:t>
            </w:r>
          </w:p>
        </w:tc>
      </w:tr>
      <w:tr w:rsidR="00CA2820">
        <w:tblPrEx>
          <w:tblCellMar>
            <w:top w:w="0" w:type="dxa"/>
            <w:bottom w:w="0" w:type="dxa"/>
          </w:tblCellMar>
        </w:tblPrEx>
        <w:trPr>
          <w:trHeight w:val="857"/>
        </w:trPr>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right"/>
            </w:pPr>
            <w:r>
              <w:rPr>
                <w:rFonts w:ascii="標楷體" w:eastAsia="標楷體" w:hAnsi="標楷體"/>
                <w:szCs w:val="24"/>
              </w:rPr>
              <w:t>(</w:t>
            </w:r>
            <w:r>
              <w:rPr>
                <w:rFonts w:ascii="標楷體" w:eastAsia="標楷體" w:hAnsi="標楷體"/>
                <w:szCs w:val="24"/>
              </w:rPr>
              <w:t>九</w:t>
            </w:r>
            <w:r>
              <w:rPr>
                <w:rFonts w:ascii="標楷體" w:eastAsia="標楷體" w:hAnsi="標楷體"/>
                <w:szCs w:val="24"/>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both"/>
            </w:pPr>
            <w:r>
              <w:rPr>
                <w:rFonts w:ascii="標楷體" w:eastAsia="標楷體" w:hAnsi="標楷體"/>
                <w:spacing w:val="-14"/>
                <w:szCs w:val="24"/>
              </w:rPr>
              <w:t>差旅費</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both"/>
            </w:pPr>
            <w:r>
              <w:rPr>
                <w:rFonts w:ascii="標楷體" w:eastAsia="標楷體" w:hAnsi="標楷體"/>
                <w:szCs w:val="24"/>
              </w:rPr>
              <w:t>依「國內出差旅費報支要點」及「國外出差旅費報支要點」核實編列。</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1452"/>
              </w:tabs>
              <w:ind w:left="458" w:hanging="503"/>
              <w:jc w:val="both"/>
            </w:pPr>
            <w:r>
              <w:rPr>
                <w:rFonts w:ascii="標楷體" w:eastAsia="標楷體" w:hAnsi="標楷體"/>
                <w:szCs w:val="24"/>
              </w:rPr>
              <w:t>一、搭乘飛機、高鐵、火車等交通工具，應以經濟（標準）等級</w:t>
            </w:r>
            <w:proofErr w:type="gramStart"/>
            <w:r>
              <w:rPr>
                <w:rFonts w:ascii="標楷體" w:eastAsia="標楷體" w:hAnsi="標楷體"/>
                <w:szCs w:val="24"/>
              </w:rPr>
              <w:t>座艙報支</w:t>
            </w:r>
            <w:proofErr w:type="gramEnd"/>
            <w:r>
              <w:rPr>
                <w:rFonts w:ascii="標楷體" w:eastAsia="標楷體" w:hAnsi="標楷體"/>
                <w:szCs w:val="24"/>
              </w:rPr>
              <w:t>。</w:t>
            </w:r>
          </w:p>
          <w:p w:rsidR="00CA2820" w:rsidRDefault="004C509C">
            <w:pPr>
              <w:pStyle w:val="Standard"/>
              <w:tabs>
                <w:tab w:val="left" w:pos="1452"/>
              </w:tabs>
              <w:ind w:left="458" w:hanging="503"/>
              <w:jc w:val="both"/>
            </w:pPr>
            <w:r>
              <w:rPr>
                <w:rFonts w:ascii="標楷體" w:eastAsia="標楷體" w:hAnsi="標楷體"/>
                <w:szCs w:val="24"/>
              </w:rPr>
              <w:t>二、國內公民營客運汽車可到達地區，除因公務急需，經本部同意編列者外，其搭乘計程車之費用，不得報支；國外培訓參賽得視需要核實報支。</w:t>
            </w:r>
          </w:p>
        </w:tc>
      </w:tr>
      <w:tr w:rsidR="00CA2820">
        <w:tblPrEx>
          <w:tblCellMar>
            <w:top w:w="0" w:type="dxa"/>
            <w:bottom w:w="0" w:type="dxa"/>
          </w:tblCellMar>
        </w:tblPrEx>
        <w:trPr>
          <w:trHeight w:val="1082"/>
        </w:trPr>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right"/>
            </w:pPr>
            <w:r>
              <w:rPr>
                <w:rFonts w:ascii="標楷體" w:eastAsia="標楷體" w:hAnsi="標楷體"/>
                <w:szCs w:val="24"/>
              </w:rPr>
              <w:t>(</w:t>
            </w:r>
            <w:r>
              <w:rPr>
                <w:rFonts w:ascii="標楷體" w:eastAsia="標楷體" w:hAnsi="標楷體"/>
                <w:szCs w:val="24"/>
              </w:rPr>
              <w:t>十</w:t>
            </w:r>
            <w:r>
              <w:rPr>
                <w:rFonts w:ascii="標楷體" w:eastAsia="標楷體" w:hAnsi="標楷體"/>
                <w:szCs w:val="24"/>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both"/>
            </w:pPr>
            <w:r>
              <w:rPr>
                <w:rFonts w:ascii="標楷體" w:eastAsia="標楷體" w:hAnsi="標楷體"/>
                <w:spacing w:val="-14"/>
                <w:szCs w:val="24"/>
              </w:rPr>
              <w:t>場地使用費</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both"/>
            </w:pPr>
            <w:r>
              <w:rPr>
                <w:rFonts w:ascii="標楷體" w:eastAsia="標楷體" w:hAnsi="標楷體"/>
                <w:szCs w:val="24"/>
              </w:rPr>
              <w:t>核實編列。</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1452"/>
              </w:tabs>
              <w:ind w:left="458" w:hanging="492"/>
              <w:jc w:val="both"/>
            </w:pPr>
            <w:r>
              <w:rPr>
                <w:rFonts w:ascii="標楷體" w:eastAsia="標楷體" w:hAnsi="標楷體"/>
                <w:szCs w:val="24"/>
              </w:rPr>
              <w:t>一、補（捐）助案件不補助內部場地使用費</w:t>
            </w:r>
            <w:r>
              <w:rPr>
                <w:rFonts w:ascii="標楷體" w:eastAsia="標楷體" w:hAnsi="標楷體"/>
              </w:rPr>
              <w:t>。但可提出對外公開之收費標準等證明文件，經本部同意者，不在此限。</w:t>
            </w:r>
          </w:p>
          <w:p w:rsidR="00CA2820" w:rsidRDefault="004C509C">
            <w:pPr>
              <w:pStyle w:val="Standard"/>
              <w:tabs>
                <w:tab w:val="left" w:pos="1452"/>
              </w:tabs>
              <w:ind w:left="458" w:hanging="503"/>
              <w:jc w:val="both"/>
              <w:rPr>
                <w:rFonts w:ascii="標楷體" w:eastAsia="標楷體" w:hAnsi="標楷體"/>
                <w:szCs w:val="24"/>
              </w:rPr>
            </w:pPr>
            <w:r>
              <w:rPr>
                <w:rFonts w:ascii="標楷體" w:eastAsia="標楷體" w:hAnsi="標楷體"/>
                <w:szCs w:val="24"/>
              </w:rPr>
              <w:t>二、依各該租用場地規範辦理。</w:t>
            </w:r>
          </w:p>
          <w:p w:rsidR="00CA2820" w:rsidRDefault="004C509C">
            <w:pPr>
              <w:pStyle w:val="Standard"/>
              <w:tabs>
                <w:tab w:val="left" w:pos="1452"/>
              </w:tabs>
              <w:ind w:left="458" w:hanging="503"/>
              <w:jc w:val="both"/>
            </w:pPr>
            <w:r>
              <w:rPr>
                <w:rFonts w:ascii="標楷體" w:eastAsia="標楷體" w:hAnsi="標楷體"/>
                <w:szCs w:val="24"/>
              </w:rPr>
              <w:t>三、執行</w:t>
            </w:r>
            <w:proofErr w:type="gramStart"/>
            <w:r>
              <w:rPr>
                <w:rFonts w:ascii="標楷體" w:eastAsia="標楷體" w:hAnsi="標楷體"/>
                <w:szCs w:val="24"/>
              </w:rPr>
              <w:t>單位應衡酌</w:t>
            </w:r>
            <w:proofErr w:type="gramEnd"/>
            <w:r>
              <w:rPr>
                <w:rFonts w:ascii="標楷體" w:eastAsia="標楷體" w:hAnsi="標楷體"/>
                <w:szCs w:val="24"/>
              </w:rPr>
              <w:t>活動舉辦規模、參與人數及對象等、租用適當場地</w:t>
            </w:r>
            <w:r>
              <w:rPr>
                <w:rFonts w:ascii="標楷體" w:eastAsia="標楷體" w:hAnsi="標楷體"/>
                <w:spacing w:val="-14"/>
                <w:szCs w:val="24"/>
              </w:rPr>
              <w:t>。</w:t>
            </w:r>
          </w:p>
        </w:tc>
      </w:tr>
      <w:tr w:rsidR="00CA2820">
        <w:tblPrEx>
          <w:tblCellMar>
            <w:top w:w="0" w:type="dxa"/>
            <w:bottom w:w="0" w:type="dxa"/>
          </w:tblCellMar>
        </w:tblPrEx>
        <w:trPr>
          <w:trHeight w:val="1082"/>
        </w:trPr>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right"/>
              <w:rPr>
                <w:rFonts w:ascii="標楷體" w:eastAsia="標楷體" w:hAnsi="標楷體"/>
                <w:szCs w:val="24"/>
              </w:rPr>
            </w:pPr>
            <w:r>
              <w:rPr>
                <w:rFonts w:ascii="標楷體" w:eastAsia="標楷體" w:hAnsi="標楷體"/>
                <w:szCs w:val="24"/>
              </w:rPr>
              <w:t>(</w:t>
            </w:r>
            <w:r>
              <w:rPr>
                <w:rFonts w:ascii="標楷體" w:eastAsia="標楷體" w:hAnsi="標楷體"/>
                <w:szCs w:val="24"/>
              </w:rPr>
              <w:t>十一</w:t>
            </w:r>
            <w:r>
              <w:rPr>
                <w:rFonts w:ascii="標楷體" w:eastAsia="標楷體" w:hAnsi="標楷體"/>
                <w:szCs w:val="24"/>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both"/>
            </w:pPr>
            <w:r>
              <w:rPr>
                <w:rFonts w:ascii="標楷體" w:eastAsia="標楷體" w:hAnsi="標楷體"/>
                <w:spacing w:val="-14"/>
                <w:szCs w:val="24"/>
              </w:rPr>
              <w:t>設備使用費</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both"/>
            </w:pPr>
            <w:r>
              <w:rPr>
                <w:rFonts w:ascii="標楷體" w:eastAsia="標楷體" w:hAnsi="標楷體"/>
                <w:szCs w:val="24"/>
              </w:rPr>
              <w:t>核實編列。</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both"/>
            </w:pPr>
            <w:r>
              <w:rPr>
                <w:rFonts w:ascii="標楷體" w:eastAsia="標楷體" w:hAnsi="標楷體"/>
              </w:rPr>
              <w:t>補（捐）助案件不補助內部設</w:t>
            </w:r>
            <w:r>
              <w:rPr>
                <w:rFonts w:ascii="標楷體" w:eastAsia="標楷體" w:hAnsi="標楷體"/>
                <w:spacing w:val="-14"/>
                <w:szCs w:val="24"/>
              </w:rPr>
              <w:t>備使用費</w:t>
            </w:r>
            <w:r>
              <w:rPr>
                <w:rFonts w:ascii="標楷體" w:eastAsia="標楷體" w:hAnsi="標楷體"/>
              </w:rPr>
              <w:t>。但可提出對外公開之收費標準等證明文件，經本部同意者，不在此限。</w:t>
            </w:r>
          </w:p>
        </w:tc>
      </w:tr>
      <w:tr w:rsidR="00CA2820">
        <w:tblPrEx>
          <w:tblCellMar>
            <w:top w:w="0" w:type="dxa"/>
            <w:bottom w:w="0" w:type="dxa"/>
          </w:tblCellMar>
        </w:tblPrEx>
        <w:trPr>
          <w:trHeight w:val="1082"/>
        </w:trPr>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right"/>
              <w:rPr>
                <w:rFonts w:ascii="標楷體" w:eastAsia="標楷體" w:hAnsi="標楷體"/>
                <w:szCs w:val="24"/>
              </w:rPr>
            </w:pPr>
            <w:r>
              <w:rPr>
                <w:rFonts w:ascii="標楷體" w:eastAsia="標楷體" w:hAnsi="標楷體"/>
                <w:szCs w:val="24"/>
              </w:rPr>
              <w:lastRenderedPageBreak/>
              <w:t>(</w:t>
            </w:r>
            <w:r>
              <w:rPr>
                <w:rFonts w:ascii="標楷體" w:eastAsia="標楷體" w:hAnsi="標楷體"/>
                <w:szCs w:val="24"/>
              </w:rPr>
              <w:t>十二</w:t>
            </w:r>
            <w:r>
              <w:rPr>
                <w:rFonts w:ascii="標楷體" w:eastAsia="標楷體" w:hAnsi="標楷體"/>
                <w:szCs w:val="24"/>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both"/>
              <w:rPr>
                <w:rFonts w:ascii="標楷體" w:eastAsia="標楷體" w:hAnsi="標楷體"/>
                <w:spacing w:val="-14"/>
                <w:szCs w:val="24"/>
              </w:rPr>
            </w:pPr>
            <w:r>
              <w:rPr>
                <w:rFonts w:ascii="標楷體" w:eastAsia="標楷體" w:hAnsi="標楷體"/>
                <w:spacing w:val="-14"/>
                <w:szCs w:val="24"/>
              </w:rPr>
              <w:t>調查訪問費</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both"/>
            </w:pPr>
            <w:r>
              <w:rPr>
                <w:rFonts w:ascii="標楷體" w:eastAsia="標楷體" w:hAnsi="標楷體"/>
                <w:szCs w:val="24"/>
              </w:rPr>
              <w:t>每份</w:t>
            </w:r>
            <w:r>
              <w:rPr>
                <w:rFonts w:ascii="標楷體" w:eastAsia="標楷體" w:hAnsi="標楷體"/>
                <w:szCs w:val="24"/>
              </w:rPr>
              <w:t>50</w:t>
            </w:r>
            <w:r>
              <w:rPr>
                <w:rFonts w:ascii="標楷體" w:eastAsia="標楷體" w:hAnsi="標楷體"/>
                <w:szCs w:val="24"/>
              </w:rPr>
              <w:t>元至</w:t>
            </w:r>
            <w:r>
              <w:rPr>
                <w:rFonts w:ascii="標楷體" w:eastAsia="標楷體" w:hAnsi="標楷體"/>
                <w:szCs w:val="24"/>
              </w:rPr>
              <w:t>300</w:t>
            </w:r>
            <w:r>
              <w:rPr>
                <w:rFonts w:ascii="標楷體" w:eastAsia="標楷體" w:hAnsi="標楷體"/>
                <w:szCs w:val="24"/>
              </w:rPr>
              <w:t>元。但辦理全國性大型訪問調查，</w:t>
            </w:r>
            <w:r>
              <w:rPr>
                <w:rFonts w:ascii="標楷體" w:eastAsia="標楷體" w:hAnsi="標楷體"/>
              </w:rPr>
              <w:t>經本部同意者，不在此限。</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both"/>
            </w:pPr>
            <w:r>
              <w:rPr>
                <w:rFonts w:ascii="標楷體" w:eastAsia="標楷體" w:hAnsi="標楷體"/>
                <w:szCs w:val="24"/>
              </w:rPr>
              <w:t>辦理問卷調查或實地訪視、訪談時所需填表或禮品費用。</w:t>
            </w:r>
          </w:p>
        </w:tc>
      </w:tr>
      <w:tr w:rsidR="00CA2820">
        <w:tblPrEx>
          <w:tblCellMar>
            <w:top w:w="0" w:type="dxa"/>
            <w:bottom w:w="0" w:type="dxa"/>
          </w:tblCellMar>
        </w:tblPrEx>
        <w:trPr>
          <w:trHeight w:val="1082"/>
        </w:trPr>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right"/>
            </w:pPr>
            <w:r>
              <w:rPr>
                <w:rFonts w:ascii="標楷體" w:eastAsia="標楷體" w:hAnsi="標楷體"/>
              </w:rPr>
              <w:t>(</w:t>
            </w:r>
            <w:r>
              <w:rPr>
                <w:rFonts w:ascii="標楷體" w:eastAsia="標楷體" w:hAnsi="標楷體"/>
              </w:rPr>
              <w:t>十三</w:t>
            </w:r>
            <w:r>
              <w:rPr>
                <w:rFonts w:ascii="標楷體" w:eastAsia="標楷體" w:hAnsi="標楷體"/>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both"/>
            </w:pPr>
            <w:r>
              <w:rPr>
                <w:rFonts w:ascii="標楷體" w:eastAsia="標楷體" w:hAnsi="標楷體"/>
                <w:szCs w:val="24"/>
              </w:rPr>
              <w:t>媒體行銷宣導費</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both"/>
              <w:rPr>
                <w:rFonts w:ascii="標楷體" w:eastAsia="標楷體" w:hAnsi="標楷體"/>
                <w:szCs w:val="24"/>
              </w:rPr>
            </w:pPr>
            <w:r>
              <w:rPr>
                <w:rFonts w:ascii="標楷體" w:eastAsia="標楷體" w:hAnsi="標楷體"/>
                <w:szCs w:val="24"/>
              </w:rPr>
              <w:t>依本部核定額度編列。</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1452"/>
              </w:tabs>
              <w:ind w:left="458" w:hanging="503"/>
              <w:jc w:val="both"/>
            </w:pPr>
            <w:r>
              <w:rPr>
                <w:rFonts w:ascii="標楷體" w:eastAsia="標楷體" w:hAnsi="標楷體"/>
              </w:rPr>
              <w:t>一、本項係透過平面媒體、廣播媒體、網路媒體（包括社群媒體）及電視媒體辦理本部推動政策或業務宣導，其經費由本部專案核定，並於核定額度內報支。</w:t>
            </w:r>
          </w:p>
          <w:p w:rsidR="00CA2820" w:rsidRDefault="004C509C">
            <w:pPr>
              <w:pStyle w:val="Standard"/>
              <w:tabs>
                <w:tab w:val="left" w:pos="1452"/>
              </w:tabs>
              <w:ind w:left="458" w:hanging="503"/>
              <w:jc w:val="both"/>
            </w:pPr>
            <w:r>
              <w:rPr>
                <w:rFonts w:ascii="標楷體" w:eastAsia="標楷體" w:hAnsi="標楷體"/>
                <w:color w:val="000000"/>
              </w:rPr>
              <w:t>二、執行單位應依預算法第</w:t>
            </w:r>
            <w:r>
              <w:rPr>
                <w:rFonts w:ascii="標楷體" w:eastAsia="標楷體" w:hAnsi="標楷體"/>
                <w:color w:val="000000"/>
              </w:rPr>
              <w:t>62</w:t>
            </w:r>
            <w:r>
              <w:rPr>
                <w:rFonts w:ascii="標楷體" w:eastAsia="標楷體" w:hAnsi="標楷體"/>
                <w:color w:val="000000"/>
              </w:rPr>
              <w:t>條之</w:t>
            </w:r>
            <w:r>
              <w:rPr>
                <w:rFonts w:ascii="標楷體" w:eastAsia="標楷體" w:hAnsi="標楷體"/>
                <w:color w:val="000000"/>
              </w:rPr>
              <w:t>1</w:t>
            </w:r>
            <w:r>
              <w:rPr>
                <w:rFonts w:ascii="標楷體" w:eastAsia="標楷體" w:hAnsi="標楷體"/>
                <w:color w:val="000000"/>
              </w:rPr>
              <w:t>及其執行原則、政府機關政策文宣規劃執行注意</w:t>
            </w:r>
            <w:r>
              <w:rPr>
                <w:rFonts w:ascii="標楷體" w:eastAsia="標楷體" w:hAnsi="標楷體"/>
              </w:rPr>
              <w:t>事項等規定辦理。</w:t>
            </w:r>
          </w:p>
        </w:tc>
      </w:tr>
      <w:tr w:rsidR="00CA2820">
        <w:tblPrEx>
          <w:tblCellMar>
            <w:top w:w="0" w:type="dxa"/>
            <w:bottom w:w="0" w:type="dxa"/>
          </w:tblCellMar>
        </w:tblPrEx>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right"/>
            </w:pPr>
            <w:r>
              <w:rPr>
                <w:rFonts w:ascii="標楷體" w:eastAsia="標楷體" w:hAnsi="標楷體"/>
                <w:szCs w:val="24"/>
              </w:rPr>
              <w:t>(</w:t>
            </w:r>
            <w:r>
              <w:rPr>
                <w:rFonts w:ascii="標楷體" w:eastAsia="標楷體" w:hAnsi="標楷體"/>
                <w:szCs w:val="24"/>
              </w:rPr>
              <w:t>十四</w:t>
            </w:r>
            <w:r>
              <w:rPr>
                <w:rFonts w:ascii="標楷體" w:eastAsia="標楷體" w:hAnsi="標楷體"/>
                <w:szCs w:val="24"/>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both"/>
            </w:pPr>
            <w:r>
              <w:rPr>
                <w:rFonts w:ascii="標楷體" w:eastAsia="標楷體" w:hAnsi="標楷體"/>
                <w:szCs w:val="24"/>
              </w:rPr>
              <w:t>雜支</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both"/>
            </w:pPr>
            <w:r>
              <w:rPr>
                <w:rFonts w:ascii="標楷體" w:eastAsia="標楷體" w:hAnsi="標楷體"/>
                <w:szCs w:val="24"/>
              </w:rPr>
              <w:t>以業務費總額之</w:t>
            </w:r>
            <w:r>
              <w:rPr>
                <w:rFonts w:ascii="標楷體" w:eastAsia="標楷體" w:hAnsi="標楷體"/>
                <w:szCs w:val="24"/>
              </w:rPr>
              <w:t>5%</w:t>
            </w:r>
            <w:r>
              <w:rPr>
                <w:rFonts w:ascii="標楷體" w:eastAsia="標楷體" w:hAnsi="標楷體"/>
                <w:szCs w:val="24"/>
              </w:rPr>
              <w:t>為上限編列，最高不得超過</w:t>
            </w:r>
            <w:r>
              <w:rPr>
                <w:rFonts w:ascii="標楷體" w:eastAsia="標楷體" w:hAnsi="標楷體"/>
                <w:szCs w:val="24"/>
              </w:rPr>
              <w:t>20</w:t>
            </w:r>
            <w:r>
              <w:rPr>
                <w:rFonts w:ascii="標楷體" w:eastAsia="標楷體" w:hAnsi="標楷體"/>
                <w:szCs w:val="24"/>
              </w:rPr>
              <w:t>萬元。</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both"/>
            </w:pPr>
            <w:r>
              <w:rPr>
                <w:rFonts w:ascii="標楷體" w:eastAsia="標楷體" w:hAnsi="標楷體"/>
                <w:szCs w:val="24"/>
              </w:rPr>
              <w:t>凡前項費用</w:t>
            </w:r>
            <w:proofErr w:type="gramStart"/>
            <w:r>
              <w:rPr>
                <w:rFonts w:ascii="標楷體" w:eastAsia="標楷體" w:hAnsi="標楷體"/>
                <w:szCs w:val="24"/>
              </w:rPr>
              <w:t>未列且與</w:t>
            </w:r>
            <w:proofErr w:type="gramEnd"/>
            <w:r>
              <w:rPr>
                <w:rFonts w:ascii="標楷體" w:eastAsia="標楷體" w:hAnsi="標楷體"/>
                <w:szCs w:val="24"/>
              </w:rPr>
              <w:t>計畫相關之費用屬之，如文具用品、紙張、資訊耗材、資料夾、郵資等屬之。</w:t>
            </w:r>
          </w:p>
        </w:tc>
      </w:tr>
      <w:tr w:rsidR="00CA2820">
        <w:tblPrEx>
          <w:tblCellMar>
            <w:top w:w="0" w:type="dxa"/>
            <w:bottom w:w="0" w:type="dxa"/>
          </w:tblCellMar>
        </w:tblPrEx>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right"/>
            </w:pPr>
            <w:r>
              <w:rPr>
                <w:rFonts w:ascii="標楷體" w:eastAsia="標楷體" w:hAnsi="標楷體"/>
                <w:szCs w:val="24"/>
              </w:rPr>
              <w:t>(</w:t>
            </w:r>
            <w:r>
              <w:rPr>
                <w:rFonts w:ascii="標楷體" w:eastAsia="標楷體" w:hAnsi="標楷體"/>
                <w:szCs w:val="24"/>
              </w:rPr>
              <w:t>十五</w:t>
            </w:r>
            <w:r>
              <w:rPr>
                <w:rFonts w:ascii="標楷體" w:eastAsia="標楷體" w:hAnsi="標楷體"/>
                <w:szCs w:val="24"/>
              </w:rPr>
              <w:t>)</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both"/>
            </w:pPr>
            <w:r>
              <w:rPr>
                <w:rFonts w:ascii="標楷體" w:eastAsia="標楷體" w:hAnsi="標楷體"/>
                <w:szCs w:val="24"/>
              </w:rPr>
              <w:t>其他</w:t>
            </w:r>
            <w:r>
              <w:rPr>
                <w:rFonts w:ascii="標楷體" w:eastAsia="標楷體" w:hAnsi="標楷體"/>
                <w:szCs w:val="24"/>
              </w:rPr>
              <w:t>(</w:t>
            </w:r>
            <w:r>
              <w:rPr>
                <w:rFonts w:ascii="標楷體" w:eastAsia="標楷體" w:hAnsi="標楷體"/>
                <w:szCs w:val="24"/>
              </w:rPr>
              <w:t>請註明項目名稱</w:t>
            </w:r>
            <w:r>
              <w:rPr>
                <w:rFonts w:ascii="標楷體" w:eastAsia="標楷體" w:hAnsi="標楷體"/>
                <w:szCs w:val="24"/>
              </w:rPr>
              <w:t>)</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both"/>
            </w:pPr>
            <w:r>
              <w:rPr>
                <w:rFonts w:ascii="標楷體" w:eastAsia="標楷體" w:hAnsi="標楷體"/>
                <w:szCs w:val="24"/>
              </w:rPr>
              <w:t>依行政院或計畫各項經費支用規定編列。</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both"/>
            </w:pPr>
            <w:r>
              <w:rPr>
                <w:rFonts w:ascii="標楷體" w:eastAsia="標楷體" w:hAnsi="標楷體"/>
                <w:szCs w:val="24"/>
              </w:rPr>
              <w:t>辦理計畫所需其他費用。</w:t>
            </w:r>
          </w:p>
        </w:tc>
      </w:tr>
      <w:tr w:rsidR="00CA2820">
        <w:tblPrEx>
          <w:tblCellMar>
            <w:top w:w="0" w:type="dxa"/>
            <w:bottom w:w="0" w:type="dxa"/>
          </w:tblCellMar>
        </w:tblPrEx>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numPr>
                <w:ilvl w:val="0"/>
                <w:numId w:val="46"/>
              </w:numPr>
              <w:tabs>
                <w:tab w:val="left" w:pos="360"/>
              </w:tabs>
              <w:jc w:val="both"/>
              <w:rPr>
                <w:rFonts w:eastAsia="標楷體"/>
              </w:rPr>
            </w:pPr>
            <w:r>
              <w:rPr>
                <w:rFonts w:eastAsia="標楷體"/>
              </w:rPr>
              <w:t>行政管理費</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CA2820">
            <w:pPr>
              <w:pStyle w:val="Standard"/>
              <w:tabs>
                <w:tab w:val="left" w:pos="6720"/>
              </w:tabs>
              <w:ind w:left="480" w:hanging="480"/>
              <w:jc w:val="both"/>
              <w:rPr>
                <w:rFonts w:ascii="標楷體" w:eastAsia="標楷體" w:hAnsi="標楷體"/>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720"/>
              </w:tabs>
              <w:ind w:left="480" w:hanging="480"/>
              <w:jc w:val="both"/>
            </w:pPr>
            <w:r>
              <w:rPr>
                <w:rFonts w:ascii="標楷體" w:eastAsia="標楷體" w:hAnsi="標楷體"/>
                <w:szCs w:val="24"/>
              </w:rPr>
              <w:t>一、依業務費之金額級距，</w:t>
            </w:r>
            <w:proofErr w:type="gramStart"/>
            <w:r>
              <w:rPr>
                <w:rFonts w:ascii="標楷體" w:eastAsia="標楷體" w:hAnsi="標楷體"/>
                <w:szCs w:val="24"/>
              </w:rPr>
              <w:t>分段乘算下列</w:t>
            </w:r>
            <w:proofErr w:type="gramEnd"/>
            <w:r>
              <w:rPr>
                <w:rFonts w:ascii="標楷體" w:eastAsia="標楷體" w:hAnsi="標楷體"/>
                <w:szCs w:val="24"/>
              </w:rPr>
              <w:t>比率後加總：</w:t>
            </w:r>
          </w:p>
          <w:p w:rsidR="00CA2820" w:rsidRDefault="004C509C">
            <w:pPr>
              <w:pStyle w:val="Standard"/>
              <w:numPr>
                <w:ilvl w:val="0"/>
                <w:numId w:val="47"/>
              </w:numPr>
              <w:tabs>
                <w:tab w:val="left" w:pos="-4656"/>
                <w:tab w:val="left" w:pos="336"/>
              </w:tabs>
              <w:ind w:left="624" w:hanging="510"/>
              <w:jc w:val="both"/>
            </w:pPr>
            <w:r>
              <w:rPr>
                <w:rFonts w:ascii="標楷體" w:eastAsia="標楷體" w:hAnsi="標楷體"/>
                <w:szCs w:val="24"/>
              </w:rPr>
              <w:t>業務費</w:t>
            </w:r>
            <w:r>
              <w:rPr>
                <w:rFonts w:ascii="標楷體" w:eastAsia="標楷體" w:hAnsi="標楷體"/>
                <w:szCs w:val="24"/>
              </w:rPr>
              <w:t>300</w:t>
            </w:r>
            <w:r>
              <w:rPr>
                <w:rFonts w:ascii="標楷體" w:eastAsia="標楷體" w:hAnsi="標楷體"/>
                <w:szCs w:val="24"/>
              </w:rPr>
              <w:t>萬元以下者，得按業務費</w:t>
            </w:r>
            <w:r>
              <w:rPr>
                <w:rFonts w:ascii="標楷體" w:eastAsia="標楷體" w:hAnsi="標楷體"/>
                <w:szCs w:val="24"/>
              </w:rPr>
              <w:t>*10</w:t>
            </w:r>
            <w:r>
              <w:rPr>
                <w:rFonts w:ascii="標楷體" w:eastAsia="標楷體" w:hAnsi="標楷體"/>
                <w:szCs w:val="24"/>
              </w:rPr>
              <w:t>％以內編列。</w:t>
            </w:r>
          </w:p>
          <w:p w:rsidR="00CA2820" w:rsidRDefault="004C509C">
            <w:pPr>
              <w:pStyle w:val="Standard"/>
              <w:numPr>
                <w:ilvl w:val="0"/>
                <w:numId w:val="47"/>
              </w:numPr>
              <w:tabs>
                <w:tab w:val="left" w:pos="-4656"/>
                <w:tab w:val="left" w:pos="336"/>
              </w:tabs>
              <w:ind w:left="624" w:hanging="510"/>
              <w:jc w:val="both"/>
              <w:rPr>
                <w:rFonts w:ascii="標楷體" w:eastAsia="標楷體" w:hAnsi="標楷體"/>
                <w:szCs w:val="24"/>
              </w:rPr>
            </w:pPr>
            <w:r>
              <w:rPr>
                <w:rFonts w:ascii="標楷體" w:eastAsia="標楷體" w:hAnsi="標楷體"/>
                <w:szCs w:val="24"/>
              </w:rPr>
              <w:t>業務費超過</w:t>
            </w:r>
            <w:r>
              <w:rPr>
                <w:rFonts w:ascii="標楷體" w:eastAsia="標楷體" w:hAnsi="標楷體"/>
                <w:szCs w:val="24"/>
              </w:rPr>
              <w:t>300</w:t>
            </w:r>
            <w:r>
              <w:rPr>
                <w:rFonts w:ascii="標楷體" w:eastAsia="標楷體" w:hAnsi="標楷體"/>
                <w:szCs w:val="24"/>
              </w:rPr>
              <w:t>萬元部分，得按超過部分</w:t>
            </w:r>
            <w:r>
              <w:rPr>
                <w:rFonts w:ascii="標楷體" w:eastAsia="標楷體" w:hAnsi="標楷體"/>
                <w:szCs w:val="24"/>
              </w:rPr>
              <w:t>*5</w:t>
            </w:r>
            <w:r>
              <w:t>％</w:t>
            </w:r>
            <w:r>
              <w:rPr>
                <w:rFonts w:ascii="標楷體" w:eastAsia="標楷體" w:hAnsi="標楷體"/>
                <w:szCs w:val="24"/>
              </w:rPr>
              <w:t>以內編列。</w:t>
            </w:r>
          </w:p>
          <w:p w:rsidR="00CA2820" w:rsidRDefault="004C509C">
            <w:pPr>
              <w:pStyle w:val="Standard"/>
              <w:tabs>
                <w:tab w:val="left" w:pos="6720"/>
              </w:tabs>
              <w:ind w:left="480" w:hanging="480"/>
              <w:jc w:val="both"/>
            </w:pPr>
            <w:r>
              <w:rPr>
                <w:rFonts w:ascii="標楷體" w:eastAsia="標楷體" w:hAnsi="標楷體"/>
                <w:szCs w:val="24"/>
              </w:rPr>
              <w:t>二、有關行政管理費已涵蓋之經費項目，除特別需求外，不得重複編列。</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1452"/>
              </w:tabs>
              <w:ind w:left="458" w:hanging="503"/>
              <w:jc w:val="both"/>
              <w:rPr>
                <w:rFonts w:ascii="標楷體" w:eastAsia="標楷體" w:hAnsi="標楷體"/>
                <w:color w:val="000000"/>
                <w:szCs w:val="24"/>
              </w:rPr>
            </w:pPr>
            <w:r>
              <w:rPr>
                <w:rFonts w:ascii="標楷體" w:eastAsia="標楷體" w:hAnsi="標楷體"/>
                <w:color w:val="000000"/>
                <w:szCs w:val="24"/>
              </w:rPr>
              <w:t>一、辦理計畫所需支付不屬前述費用之水電費、電話費、燃料費及設備維護費等屬之。</w:t>
            </w:r>
          </w:p>
          <w:p w:rsidR="00CA2820" w:rsidRDefault="004C509C">
            <w:pPr>
              <w:pStyle w:val="Standard"/>
              <w:tabs>
                <w:tab w:val="left" w:pos="1452"/>
              </w:tabs>
              <w:ind w:left="458" w:hanging="503"/>
              <w:jc w:val="both"/>
            </w:pPr>
            <w:r>
              <w:rPr>
                <w:rFonts w:ascii="標楷體" w:eastAsia="標楷體" w:hAnsi="標楷體"/>
                <w:color w:val="000000"/>
                <w:szCs w:val="24"/>
              </w:rPr>
              <w:t>二、補（捐）助案件不補（捐）助本項經費。但因配合本部政策需要者，不在此限。</w:t>
            </w:r>
          </w:p>
        </w:tc>
      </w:tr>
      <w:tr w:rsidR="00CA2820">
        <w:tblPrEx>
          <w:tblCellMar>
            <w:top w:w="0" w:type="dxa"/>
            <w:bottom w:w="0" w:type="dxa"/>
          </w:tblCellMar>
        </w:tblPrEx>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1440"/>
              </w:tabs>
              <w:jc w:val="both"/>
            </w:pPr>
            <w:r>
              <w:rPr>
                <w:rFonts w:eastAsia="標楷體"/>
              </w:rPr>
              <w:t>四、</w:t>
            </w:r>
            <w:r>
              <w:rPr>
                <w:rFonts w:ascii="標楷體" w:eastAsia="標楷體" w:hAnsi="標楷體"/>
                <w:szCs w:val="24"/>
              </w:rPr>
              <w:t>設備費</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6240"/>
              </w:tabs>
              <w:jc w:val="both"/>
            </w:pPr>
            <w:r>
              <w:rPr>
                <w:rFonts w:ascii="標楷體" w:eastAsia="標楷體" w:hAnsi="標楷體"/>
                <w:szCs w:val="24"/>
              </w:rPr>
              <w:t>其他</w:t>
            </w:r>
            <w:r>
              <w:rPr>
                <w:rFonts w:ascii="標楷體" w:eastAsia="標楷體" w:hAnsi="標楷體"/>
                <w:szCs w:val="24"/>
              </w:rPr>
              <w:t>(</w:t>
            </w:r>
            <w:r>
              <w:rPr>
                <w:rFonts w:ascii="標楷體" w:eastAsia="標楷體" w:hAnsi="標楷體"/>
                <w:szCs w:val="24"/>
              </w:rPr>
              <w:t>請註明項目名稱</w:t>
            </w:r>
            <w:r>
              <w:rPr>
                <w:rFonts w:ascii="標楷體" w:eastAsia="標楷體" w:hAnsi="標楷體"/>
                <w:szCs w:val="24"/>
              </w:rPr>
              <w:t>)</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numPr>
                <w:ilvl w:val="0"/>
                <w:numId w:val="48"/>
              </w:numPr>
              <w:tabs>
                <w:tab w:val="left" w:pos="1452"/>
              </w:tabs>
              <w:ind w:left="458" w:hanging="503"/>
              <w:jc w:val="both"/>
            </w:pPr>
            <w:r>
              <w:rPr>
                <w:rFonts w:eastAsia="標楷體"/>
              </w:rPr>
              <w:t>依行政院或計畫各項經費支用規定編列</w:t>
            </w:r>
            <w:r>
              <w:rPr>
                <w:rFonts w:ascii="標楷體" w:eastAsia="標楷體" w:hAnsi="標楷體"/>
                <w:szCs w:val="24"/>
              </w:rPr>
              <w:t>。</w:t>
            </w:r>
          </w:p>
          <w:p w:rsidR="00CA2820" w:rsidRDefault="004C509C">
            <w:pPr>
              <w:pStyle w:val="Standard"/>
              <w:numPr>
                <w:ilvl w:val="0"/>
                <w:numId w:val="48"/>
              </w:numPr>
              <w:tabs>
                <w:tab w:val="left" w:pos="1452"/>
              </w:tabs>
              <w:ind w:left="458" w:hanging="503"/>
              <w:jc w:val="both"/>
              <w:rPr>
                <w:rFonts w:eastAsia="標楷體"/>
              </w:rPr>
            </w:pPr>
            <w:r>
              <w:rPr>
                <w:rFonts w:eastAsia="標楷體"/>
              </w:rPr>
              <w:t>資訊設備應依行政院主計總處公告之共同性費用編列基準表規定編列。</w:t>
            </w:r>
          </w:p>
        </w:tc>
        <w:tc>
          <w:tcPr>
            <w:tcW w:w="36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2820" w:rsidRDefault="004C509C">
            <w:pPr>
              <w:pStyle w:val="Standard"/>
              <w:tabs>
                <w:tab w:val="left" w:pos="1452"/>
              </w:tabs>
              <w:ind w:left="458" w:hanging="503"/>
              <w:jc w:val="both"/>
            </w:pPr>
            <w:r>
              <w:rPr>
                <w:rFonts w:ascii="標楷體" w:eastAsia="標楷體" w:hAnsi="標楷體"/>
                <w:color w:val="000000"/>
                <w:szCs w:val="24"/>
              </w:rPr>
              <w:t>一、辦理計畫所需購置軟硬體設備，單價</w:t>
            </w:r>
            <w:r>
              <w:rPr>
                <w:rFonts w:ascii="標楷體" w:eastAsia="標楷體" w:hAnsi="標楷體"/>
                <w:color w:val="000000"/>
                <w:szCs w:val="24"/>
              </w:rPr>
              <w:t>1</w:t>
            </w:r>
            <w:r>
              <w:rPr>
                <w:rFonts w:ascii="標楷體" w:eastAsia="標楷體" w:hAnsi="標楷體"/>
                <w:color w:val="000000"/>
                <w:szCs w:val="24"/>
              </w:rPr>
              <w:t>萬元以上且使用年限</w:t>
            </w:r>
            <w:r>
              <w:rPr>
                <w:rFonts w:ascii="標楷體" w:eastAsia="標楷體" w:hAnsi="標楷體"/>
                <w:color w:val="000000"/>
                <w:szCs w:val="24"/>
              </w:rPr>
              <w:t>2</w:t>
            </w:r>
            <w:r>
              <w:rPr>
                <w:rFonts w:ascii="標楷體" w:eastAsia="標楷體" w:hAnsi="標楷體"/>
                <w:color w:val="000000"/>
                <w:szCs w:val="24"/>
              </w:rPr>
              <w:t>年以上者屬之。</w:t>
            </w:r>
          </w:p>
          <w:p w:rsidR="00CA2820" w:rsidRDefault="004C509C">
            <w:pPr>
              <w:pStyle w:val="Standard"/>
              <w:tabs>
                <w:tab w:val="left" w:pos="1452"/>
              </w:tabs>
              <w:ind w:left="458" w:hanging="503"/>
              <w:jc w:val="both"/>
              <w:rPr>
                <w:rFonts w:ascii="標楷體" w:eastAsia="標楷體" w:hAnsi="標楷體"/>
                <w:color w:val="000000"/>
                <w:szCs w:val="24"/>
              </w:rPr>
            </w:pPr>
            <w:r>
              <w:rPr>
                <w:rFonts w:ascii="標楷體" w:eastAsia="標楷體" w:hAnsi="標楷體"/>
                <w:color w:val="000000"/>
                <w:szCs w:val="24"/>
              </w:rPr>
              <w:t>二、一般設備如複印機、印表機、電腦螢幕、碎紙機等均不得列之。</w:t>
            </w:r>
          </w:p>
        </w:tc>
      </w:tr>
    </w:tbl>
    <w:p w:rsidR="00CA2820" w:rsidRDefault="00CA2820">
      <w:pPr>
        <w:pStyle w:val="Standard"/>
        <w:tabs>
          <w:tab w:val="left" w:pos="6240"/>
        </w:tabs>
      </w:pPr>
    </w:p>
    <w:sectPr w:rsidR="00CA2820">
      <w:pgSz w:w="11906" w:h="16838"/>
      <w:pgMar w:top="1134" w:right="851" w:bottom="113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509C" w:rsidRDefault="004C509C">
      <w:r>
        <w:separator/>
      </w:r>
    </w:p>
  </w:endnote>
  <w:endnote w:type="continuationSeparator" w:id="0">
    <w:p w:rsidR="004C509C" w:rsidRDefault="004C5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altName w:val="Arial"/>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509C" w:rsidRDefault="004C509C">
      <w:r>
        <w:rPr>
          <w:color w:val="000000"/>
        </w:rPr>
        <w:separator/>
      </w:r>
    </w:p>
  </w:footnote>
  <w:footnote w:type="continuationSeparator" w:id="0">
    <w:p w:rsidR="004C509C" w:rsidRDefault="004C5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0B3"/>
    <w:multiLevelType w:val="multilevel"/>
    <w:tmpl w:val="95987760"/>
    <w:lvl w:ilvl="0">
      <w:start w:val="1"/>
      <w:numFmt w:val="japaneseCounting"/>
      <w:lvlText w:val="(%1)"/>
      <w:lvlJc w:val="left"/>
      <w:pPr>
        <w:ind w:left="480" w:hanging="480"/>
      </w:pPr>
      <w:rPr>
        <w:rFonts w:ascii="標楷體" w:eastAsia="標楷體" w:hAnsi="標楷體" w:cs="Times New Roman"/>
        <w:color w:val="auto"/>
        <w:sz w:val="25"/>
        <w:szCs w:val="25"/>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562260E"/>
    <w:multiLevelType w:val="multilevel"/>
    <w:tmpl w:val="21BA68F4"/>
    <w:styleLink w:val="WWNum1"/>
    <w:lvl w:ilvl="0">
      <w:start w:val="1"/>
      <w:numFmt w:val="japaneseCounting"/>
      <w:lvlText w:val="%1、"/>
      <w:lvlJc w:val="left"/>
      <w:pPr>
        <w:ind w:left="480" w:hanging="480"/>
      </w:pPr>
      <w:rPr>
        <w:rFonts w:cs="Times New Roman"/>
      </w:rPr>
    </w:lvl>
    <w:lvl w:ilvl="1">
      <w:start w:val="1"/>
      <w:numFmt w:val="japaneseCounting"/>
      <w:lvlText w:val="（%2）"/>
      <w:lvlJc w:val="left"/>
      <w:pPr>
        <w:ind w:left="1200" w:hanging="72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 w15:restartNumberingAfterBreak="0">
    <w:nsid w:val="07C26099"/>
    <w:multiLevelType w:val="multilevel"/>
    <w:tmpl w:val="1C1251A2"/>
    <w:styleLink w:val="WWNum41"/>
    <w:lvl w:ilvl="0">
      <w:start w:val="1"/>
      <w:numFmt w:val="decimal"/>
      <w:lvlText w:val="%1、"/>
      <w:lvlJc w:val="left"/>
      <w:pPr>
        <w:ind w:left="480" w:hanging="480"/>
      </w:pPr>
      <w:rPr>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C5A7A73"/>
    <w:multiLevelType w:val="multilevel"/>
    <w:tmpl w:val="B5142FDE"/>
    <w:styleLink w:val="WWNum26"/>
    <w:lvl w:ilvl="0">
      <w:start w:val="2"/>
      <w:numFmt w:val="japaneseCounting"/>
      <w:lvlText w:val="%1、"/>
      <w:lvlJc w:val="left"/>
      <w:pPr>
        <w:ind w:left="420" w:hanging="4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 w15:restartNumberingAfterBreak="0">
    <w:nsid w:val="10693214"/>
    <w:multiLevelType w:val="multilevel"/>
    <w:tmpl w:val="AC0A96DE"/>
    <w:lvl w:ilvl="0">
      <w:start w:val="3"/>
      <w:numFmt w:val="japaneseCounting"/>
      <w:lvlText w:val="%1、"/>
      <w:lvlJc w:val="left"/>
      <w:pPr>
        <w:ind w:left="540" w:hanging="54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5A107A0"/>
    <w:multiLevelType w:val="multilevel"/>
    <w:tmpl w:val="8D428548"/>
    <w:lvl w:ilvl="0">
      <w:start w:val="1"/>
      <w:numFmt w:val="japaneseCounting"/>
      <w:lvlText w:val="%1、"/>
      <w:lvlJc w:val="left"/>
      <w:pPr>
        <w:ind w:left="480" w:hanging="48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6196F42"/>
    <w:multiLevelType w:val="multilevel"/>
    <w:tmpl w:val="EC76F4B6"/>
    <w:styleLink w:val="WWNum23"/>
    <w:lvl w:ilvl="0">
      <w:start w:val="2"/>
      <w:numFmt w:val="japaneseCounting"/>
      <w:lvlText w:val="%1、"/>
      <w:lvlJc w:val="left"/>
      <w:pPr>
        <w:ind w:left="420" w:hanging="4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 w15:restartNumberingAfterBreak="0">
    <w:nsid w:val="1BCE741D"/>
    <w:multiLevelType w:val="multilevel"/>
    <w:tmpl w:val="7B527E56"/>
    <w:styleLink w:val="WWNum32"/>
    <w:lvl w:ilvl="0">
      <w:start w:val="1"/>
      <w:numFmt w:val="japaneseCounting"/>
      <w:lvlText w:val="%1、"/>
      <w:lvlJc w:val="left"/>
      <w:pPr>
        <w:ind w:left="480" w:hanging="480"/>
      </w:pPr>
      <w:rPr>
        <w:rFonts w:cs="Times New Roman"/>
      </w:rPr>
    </w:lvl>
    <w:lvl w:ilvl="1">
      <w:start w:val="1"/>
      <w:numFmt w:val="decimal"/>
      <w:lvlText w:val="%2."/>
      <w:lvlJc w:val="left"/>
      <w:pPr>
        <w:ind w:left="840" w:hanging="36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 w15:restartNumberingAfterBreak="0">
    <w:nsid w:val="1BDD2AC4"/>
    <w:multiLevelType w:val="multilevel"/>
    <w:tmpl w:val="C6E6091A"/>
    <w:styleLink w:val="WWNum30"/>
    <w:lvl w:ilvl="0">
      <w:start w:val="2"/>
      <w:numFmt w:val="japaneseCounting"/>
      <w:lvlText w:val="%1、"/>
      <w:lvlJc w:val="left"/>
      <w:pPr>
        <w:ind w:left="420" w:hanging="420"/>
      </w:pPr>
      <w:rPr>
        <w:rFonts w:eastAsia="Times New Roman"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9" w15:restartNumberingAfterBreak="0">
    <w:nsid w:val="208D0265"/>
    <w:multiLevelType w:val="multilevel"/>
    <w:tmpl w:val="1D56BCA8"/>
    <w:styleLink w:val="WWNum2"/>
    <w:lvl w:ilvl="0">
      <w:start w:val="1"/>
      <w:numFmt w:val="japaneseCounting"/>
      <w:lvlText w:val="%1、"/>
      <w:lvlJc w:val="left"/>
      <w:pPr>
        <w:ind w:left="480" w:hanging="480"/>
      </w:pPr>
      <w:rPr>
        <w:rFonts w:cs="Times New Roman"/>
      </w:rPr>
    </w:lvl>
    <w:lvl w:ilvl="1">
      <w:start w:val="1"/>
      <w:numFmt w:val="decimal"/>
      <w:lvlText w:val="%2."/>
      <w:lvlJc w:val="left"/>
      <w:pPr>
        <w:ind w:left="840" w:hanging="36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0" w15:restartNumberingAfterBreak="0">
    <w:nsid w:val="20A921BC"/>
    <w:multiLevelType w:val="multilevel"/>
    <w:tmpl w:val="CC6CC46A"/>
    <w:styleLink w:val="WWNum5"/>
    <w:lvl w:ilvl="0">
      <w:start w:val="1"/>
      <w:numFmt w:val="lowerLetter"/>
      <w:lvlText w:val="%1."/>
      <w:lvlJc w:val="left"/>
      <w:pPr>
        <w:ind w:left="1052" w:hanging="360"/>
      </w:pPr>
      <w:rPr>
        <w:rFonts w:cs="Times New Roman"/>
      </w:rPr>
    </w:lvl>
    <w:lvl w:ilvl="1">
      <w:start w:val="1"/>
      <w:numFmt w:val="decimal"/>
      <w:lvlText w:val="%2."/>
      <w:lvlJc w:val="left"/>
      <w:pPr>
        <w:ind w:left="1532" w:hanging="360"/>
      </w:pPr>
      <w:rPr>
        <w:rFonts w:cs="Times New Roman"/>
      </w:rPr>
    </w:lvl>
    <w:lvl w:ilvl="2">
      <w:start w:val="1"/>
      <w:numFmt w:val="lowerRoman"/>
      <w:lvlText w:val="%3."/>
      <w:lvlJc w:val="right"/>
      <w:pPr>
        <w:ind w:left="2132" w:hanging="480"/>
      </w:pPr>
      <w:rPr>
        <w:rFonts w:cs="Times New Roman"/>
      </w:rPr>
    </w:lvl>
    <w:lvl w:ilvl="3">
      <w:start w:val="1"/>
      <w:numFmt w:val="decimal"/>
      <w:lvlText w:val="%4."/>
      <w:lvlJc w:val="left"/>
      <w:pPr>
        <w:ind w:left="2612" w:hanging="480"/>
      </w:pPr>
      <w:rPr>
        <w:rFonts w:cs="Times New Roman"/>
      </w:rPr>
    </w:lvl>
    <w:lvl w:ilvl="4">
      <w:start w:val="1"/>
      <w:numFmt w:val="ideographTraditional"/>
      <w:lvlText w:val="%5、"/>
      <w:lvlJc w:val="left"/>
      <w:pPr>
        <w:ind w:left="3092" w:hanging="480"/>
      </w:pPr>
      <w:rPr>
        <w:rFonts w:cs="Times New Roman"/>
      </w:rPr>
    </w:lvl>
    <w:lvl w:ilvl="5">
      <w:start w:val="1"/>
      <w:numFmt w:val="lowerRoman"/>
      <w:lvlText w:val="%6."/>
      <w:lvlJc w:val="right"/>
      <w:pPr>
        <w:ind w:left="3572" w:hanging="480"/>
      </w:pPr>
      <w:rPr>
        <w:rFonts w:cs="Times New Roman"/>
      </w:rPr>
    </w:lvl>
    <w:lvl w:ilvl="6">
      <w:start w:val="1"/>
      <w:numFmt w:val="decimal"/>
      <w:lvlText w:val="%7."/>
      <w:lvlJc w:val="left"/>
      <w:pPr>
        <w:ind w:left="4052" w:hanging="480"/>
      </w:pPr>
      <w:rPr>
        <w:rFonts w:cs="Times New Roman"/>
      </w:rPr>
    </w:lvl>
    <w:lvl w:ilvl="7">
      <w:start w:val="1"/>
      <w:numFmt w:val="ideographTraditional"/>
      <w:lvlText w:val="%8、"/>
      <w:lvlJc w:val="left"/>
      <w:pPr>
        <w:ind w:left="4532" w:hanging="480"/>
      </w:pPr>
      <w:rPr>
        <w:rFonts w:cs="Times New Roman"/>
      </w:rPr>
    </w:lvl>
    <w:lvl w:ilvl="8">
      <w:start w:val="1"/>
      <w:numFmt w:val="lowerRoman"/>
      <w:lvlText w:val="%9."/>
      <w:lvlJc w:val="right"/>
      <w:pPr>
        <w:ind w:left="5012" w:hanging="480"/>
      </w:pPr>
      <w:rPr>
        <w:rFonts w:cs="Times New Roman"/>
      </w:rPr>
    </w:lvl>
  </w:abstractNum>
  <w:abstractNum w:abstractNumId="11" w15:restartNumberingAfterBreak="0">
    <w:nsid w:val="24B44CA6"/>
    <w:multiLevelType w:val="multilevel"/>
    <w:tmpl w:val="997CC694"/>
    <w:styleLink w:val="WWNum42"/>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564391F"/>
    <w:multiLevelType w:val="multilevel"/>
    <w:tmpl w:val="2026A99A"/>
    <w:styleLink w:val="WWNum19"/>
    <w:lvl w:ilvl="0">
      <w:start w:val="3"/>
      <w:numFmt w:val="none"/>
      <w:lvlText w:val="%1二）"/>
      <w:lvlJc w:val="left"/>
      <w:pPr>
        <w:ind w:left="960" w:hanging="72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8F321CE"/>
    <w:multiLevelType w:val="multilevel"/>
    <w:tmpl w:val="39143730"/>
    <w:styleLink w:val="WWNum14"/>
    <w:lvl w:ilvl="0">
      <w:start w:val="1"/>
      <w:numFmt w:val="upperRoman"/>
      <w:lvlText w:val="%1."/>
      <w:lvlJc w:val="left"/>
      <w:pPr>
        <w:ind w:left="480" w:hanging="48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B784D03"/>
    <w:multiLevelType w:val="multilevel"/>
    <w:tmpl w:val="5E36933A"/>
    <w:styleLink w:val="WWNum9"/>
    <w:lvl w:ilvl="0">
      <w:start w:val="1"/>
      <w:numFmt w:val="japaneseCounting"/>
      <w:lvlText w:val="%1、"/>
      <w:lvlJc w:val="left"/>
      <w:pPr>
        <w:ind w:left="480" w:hanging="480"/>
      </w:pPr>
      <w:rPr>
        <w:rFonts w:cs="Times New Roman"/>
      </w:rPr>
    </w:lvl>
    <w:lvl w:ilvl="1">
      <w:start w:val="1"/>
      <w:numFmt w:val="decimal"/>
      <w:lvlText w:val="%2."/>
      <w:lvlJc w:val="left"/>
      <w:pPr>
        <w:ind w:left="840" w:hanging="36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5" w15:restartNumberingAfterBreak="0">
    <w:nsid w:val="2D694072"/>
    <w:multiLevelType w:val="multilevel"/>
    <w:tmpl w:val="397A6B74"/>
    <w:styleLink w:val="WWNum12"/>
    <w:lvl w:ilvl="0">
      <w:start w:val="1"/>
      <w:numFmt w:val="japaneseCounting"/>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6" w15:restartNumberingAfterBreak="0">
    <w:nsid w:val="2ED26726"/>
    <w:multiLevelType w:val="multilevel"/>
    <w:tmpl w:val="E8C6A268"/>
    <w:styleLink w:val="WWNum31"/>
    <w:lvl w:ilvl="0">
      <w:start w:val="2"/>
      <w:numFmt w:val="japaneseCounting"/>
      <w:lvlText w:val="%1、"/>
      <w:lvlJc w:val="left"/>
      <w:pPr>
        <w:ind w:left="420" w:hanging="420"/>
      </w:pPr>
      <w:rPr>
        <w:rFonts w:eastAsia="Times New Roman"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 w15:restartNumberingAfterBreak="0">
    <w:nsid w:val="30BF51F2"/>
    <w:multiLevelType w:val="multilevel"/>
    <w:tmpl w:val="11184C08"/>
    <w:styleLink w:val="WWNum25"/>
    <w:lvl w:ilvl="0">
      <w:start w:val="2"/>
      <w:numFmt w:val="japaneseCounting"/>
      <w:lvlText w:val="%1、"/>
      <w:lvlJc w:val="left"/>
      <w:pPr>
        <w:ind w:left="563" w:hanging="450"/>
      </w:pPr>
      <w:rPr>
        <w:rFonts w:cs="Times New Roman"/>
      </w:rPr>
    </w:lvl>
    <w:lvl w:ilvl="1">
      <w:start w:val="1"/>
      <w:numFmt w:val="ideographTraditional"/>
      <w:lvlText w:val="%2、"/>
      <w:lvlJc w:val="left"/>
      <w:pPr>
        <w:ind w:left="1073" w:hanging="480"/>
      </w:pPr>
      <w:rPr>
        <w:rFonts w:cs="Times New Roman"/>
      </w:rPr>
    </w:lvl>
    <w:lvl w:ilvl="2">
      <w:start w:val="1"/>
      <w:numFmt w:val="lowerRoman"/>
      <w:lvlText w:val="%3."/>
      <w:lvlJc w:val="right"/>
      <w:pPr>
        <w:ind w:left="1553" w:hanging="480"/>
      </w:pPr>
      <w:rPr>
        <w:rFonts w:cs="Times New Roman"/>
      </w:rPr>
    </w:lvl>
    <w:lvl w:ilvl="3">
      <w:start w:val="1"/>
      <w:numFmt w:val="decimal"/>
      <w:lvlText w:val="%4."/>
      <w:lvlJc w:val="left"/>
      <w:pPr>
        <w:ind w:left="2033" w:hanging="480"/>
      </w:pPr>
      <w:rPr>
        <w:rFonts w:cs="Times New Roman"/>
      </w:rPr>
    </w:lvl>
    <w:lvl w:ilvl="4">
      <w:start w:val="1"/>
      <w:numFmt w:val="ideographTraditional"/>
      <w:lvlText w:val="%5、"/>
      <w:lvlJc w:val="left"/>
      <w:pPr>
        <w:ind w:left="2513" w:hanging="480"/>
      </w:pPr>
      <w:rPr>
        <w:rFonts w:cs="Times New Roman"/>
      </w:rPr>
    </w:lvl>
    <w:lvl w:ilvl="5">
      <w:start w:val="1"/>
      <w:numFmt w:val="lowerRoman"/>
      <w:lvlText w:val="%6."/>
      <w:lvlJc w:val="right"/>
      <w:pPr>
        <w:ind w:left="2993" w:hanging="480"/>
      </w:pPr>
      <w:rPr>
        <w:rFonts w:cs="Times New Roman"/>
      </w:rPr>
    </w:lvl>
    <w:lvl w:ilvl="6">
      <w:start w:val="1"/>
      <w:numFmt w:val="decimal"/>
      <w:lvlText w:val="%7."/>
      <w:lvlJc w:val="left"/>
      <w:pPr>
        <w:ind w:left="3473" w:hanging="480"/>
      </w:pPr>
      <w:rPr>
        <w:rFonts w:cs="Times New Roman"/>
      </w:rPr>
    </w:lvl>
    <w:lvl w:ilvl="7">
      <w:start w:val="1"/>
      <w:numFmt w:val="ideographTraditional"/>
      <w:lvlText w:val="%8、"/>
      <w:lvlJc w:val="left"/>
      <w:pPr>
        <w:ind w:left="3953" w:hanging="480"/>
      </w:pPr>
      <w:rPr>
        <w:rFonts w:cs="Times New Roman"/>
      </w:rPr>
    </w:lvl>
    <w:lvl w:ilvl="8">
      <w:start w:val="1"/>
      <w:numFmt w:val="lowerRoman"/>
      <w:lvlText w:val="%9."/>
      <w:lvlJc w:val="right"/>
      <w:pPr>
        <w:ind w:left="4433" w:hanging="480"/>
      </w:pPr>
      <w:rPr>
        <w:rFonts w:cs="Times New Roman"/>
      </w:rPr>
    </w:lvl>
  </w:abstractNum>
  <w:abstractNum w:abstractNumId="18" w15:restartNumberingAfterBreak="0">
    <w:nsid w:val="352C0E8C"/>
    <w:multiLevelType w:val="multilevel"/>
    <w:tmpl w:val="7F24E64E"/>
    <w:styleLink w:val="WWNum35"/>
    <w:lvl w:ilvl="0">
      <w:start w:val="2"/>
      <w:numFmt w:val="japaneseCounting"/>
      <w:lvlText w:val="%1、"/>
      <w:lvlJc w:val="left"/>
      <w:pPr>
        <w:ind w:left="375" w:hanging="375"/>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9" w15:restartNumberingAfterBreak="0">
    <w:nsid w:val="369351B8"/>
    <w:multiLevelType w:val="multilevel"/>
    <w:tmpl w:val="B08210CA"/>
    <w:styleLink w:val="WWNum13"/>
    <w:lvl w:ilvl="0">
      <w:start w:val="1"/>
      <w:numFmt w:val="decimal"/>
      <w:lvlText w:val="%1."/>
      <w:lvlJc w:val="left"/>
      <w:pPr>
        <w:ind w:left="425" w:hanging="85"/>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3A0B7ED1"/>
    <w:multiLevelType w:val="multilevel"/>
    <w:tmpl w:val="E6AA8966"/>
    <w:styleLink w:val="WWNum15"/>
    <w:lvl w:ilvl="0">
      <w:start w:val="2"/>
      <w:numFmt w:val="japaneseCounting"/>
      <w:lvlText w:val="%1、"/>
      <w:lvlJc w:val="left"/>
      <w:pPr>
        <w:ind w:left="420" w:hanging="42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402A5CE0"/>
    <w:multiLevelType w:val="multilevel"/>
    <w:tmpl w:val="6A6AC210"/>
    <w:styleLink w:val="WWNum20"/>
    <w:lvl w:ilvl="0">
      <w:start w:val="3"/>
      <w:numFmt w:val="none"/>
      <w:lvlText w:val="%1一）"/>
      <w:lvlJc w:val="left"/>
      <w:pPr>
        <w:ind w:left="96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2" w15:restartNumberingAfterBreak="0">
    <w:nsid w:val="438A584E"/>
    <w:multiLevelType w:val="multilevel"/>
    <w:tmpl w:val="DE10B6DC"/>
    <w:styleLink w:val="WWNum24"/>
    <w:lvl w:ilvl="0">
      <w:start w:val="4"/>
      <w:numFmt w:val="japaneseCounting"/>
      <w:lvlText w:val="%1、"/>
      <w:lvlJc w:val="left"/>
      <w:pPr>
        <w:ind w:left="420" w:hanging="4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3" w15:restartNumberingAfterBreak="0">
    <w:nsid w:val="43A144A8"/>
    <w:multiLevelType w:val="multilevel"/>
    <w:tmpl w:val="30B61804"/>
    <w:styleLink w:val="WWNum10"/>
    <w:lvl w:ilvl="0">
      <w:start w:val="1"/>
      <w:numFmt w:val="japaneseCounting"/>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4" w15:restartNumberingAfterBreak="0">
    <w:nsid w:val="44D563BF"/>
    <w:multiLevelType w:val="multilevel"/>
    <w:tmpl w:val="B98CADBC"/>
    <w:styleLink w:val="WWNum28"/>
    <w:lvl w:ilvl="0">
      <w:start w:val="2"/>
      <w:numFmt w:val="japaneseCounting"/>
      <w:lvlText w:val="%1、"/>
      <w:lvlJc w:val="left"/>
      <w:pPr>
        <w:ind w:left="420" w:hanging="4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5" w15:restartNumberingAfterBreak="0">
    <w:nsid w:val="45441455"/>
    <w:multiLevelType w:val="multilevel"/>
    <w:tmpl w:val="5EA2F1E8"/>
    <w:styleLink w:val="WWNum27"/>
    <w:lvl w:ilvl="0">
      <w:start w:val="2"/>
      <w:numFmt w:val="japaneseCounting"/>
      <w:lvlText w:val="%1、"/>
      <w:lvlJc w:val="left"/>
      <w:pPr>
        <w:ind w:left="420" w:hanging="4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6" w15:restartNumberingAfterBreak="0">
    <w:nsid w:val="45F9298B"/>
    <w:multiLevelType w:val="multilevel"/>
    <w:tmpl w:val="D0BA035C"/>
    <w:styleLink w:val="WWNum37"/>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469916C2"/>
    <w:multiLevelType w:val="multilevel"/>
    <w:tmpl w:val="6DD4D864"/>
    <w:styleLink w:val="WWNum29"/>
    <w:lvl w:ilvl="0">
      <w:start w:val="2"/>
      <w:numFmt w:val="japaneseCounting"/>
      <w:lvlText w:val="%1、"/>
      <w:lvlJc w:val="left"/>
      <w:pPr>
        <w:ind w:left="420" w:hanging="420"/>
      </w:pPr>
      <w:rPr>
        <w:rFonts w:eastAsia="Times New Roman"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8" w15:restartNumberingAfterBreak="0">
    <w:nsid w:val="4A474ACC"/>
    <w:multiLevelType w:val="multilevel"/>
    <w:tmpl w:val="965E0B46"/>
    <w:styleLink w:val="WWNum17"/>
    <w:lvl w:ilvl="0">
      <w:start w:val="1"/>
      <w:numFmt w:val="japaneseCounting"/>
      <w:lvlText w:val="(%1)"/>
      <w:lvlJc w:val="left"/>
      <w:pPr>
        <w:ind w:left="737" w:hanging="624"/>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4DD0667A"/>
    <w:multiLevelType w:val="multilevel"/>
    <w:tmpl w:val="4EA43D14"/>
    <w:styleLink w:val="WWNum3"/>
    <w:lvl w:ilvl="0">
      <w:start w:val="1"/>
      <w:numFmt w:val="japaneseCounting"/>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0" w15:restartNumberingAfterBreak="0">
    <w:nsid w:val="50A57EEC"/>
    <w:multiLevelType w:val="multilevel"/>
    <w:tmpl w:val="E1F4FC64"/>
    <w:styleLink w:val="WWNum4"/>
    <w:lvl w:ilvl="0">
      <w:start w:val="1"/>
      <w:numFmt w:val="japaneseCounting"/>
      <w:lvlText w:val="%1、"/>
      <w:lvlJc w:val="left"/>
      <w:pPr>
        <w:ind w:left="480" w:hanging="480"/>
      </w:pPr>
      <w:rPr>
        <w:rFonts w:cs="Times New Roman"/>
      </w:rPr>
    </w:lvl>
    <w:lvl w:ilvl="1">
      <w:start w:val="1"/>
      <w:numFmt w:val="decimal"/>
      <w:lvlText w:val="%2."/>
      <w:lvlJc w:val="left"/>
      <w:pPr>
        <w:ind w:left="840" w:hanging="36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1" w15:restartNumberingAfterBreak="0">
    <w:nsid w:val="53EB29C7"/>
    <w:multiLevelType w:val="multilevel"/>
    <w:tmpl w:val="E2BA85AE"/>
    <w:styleLink w:val="WWNum6"/>
    <w:lvl w:ilvl="0">
      <w:start w:val="1"/>
      <w:numFmt w:val="lowerLetter"/>
      <w:lvlText w:val="%1."/>
      <w:lvlJc w:val="left"/>
      <w:pPr>
        <w:ind w:left="1532" w:hanging="360"/>
      </w:pPr>
      <w:rPr>
        <w:rFonts w:cs="Times New Roman"/>
      </w:rPr>
    </w:lvl>
    <w:lvl w:ilvl="1">
      <w:start w:val="1"/>
      <w:numFmt w:val="ideographTraditional"/>
      <w:lvlText w:val="%2、"/>
      <w:lvlJc w:val="left"/>
      <w:pPr>
        <w:ind w:left="2132" w:hanging="480"/>
      </w:pPr>
      <w:rPr>
        <w:rFonts w:cs="Times New Roman"/>
      </w:rPr>
    </w:lvl>
    <w:lvl w:ilvl="2">
      <w:start w:val="1"/>
      <w:numFmt w:val="lowerRoman"/>
      <w:lvlText w:val="%3."/>
      <w:lvlJc w:val="right"/>
      <w:pPr>
        <w:ind w:left="2612" w:hanging="480"/>
      </w:pPr>
      <w:rPr>
        <w:rFonts w:cs="Times New Roman"/>
      </w:rPr>
    </w:lvl>
    <w:lvl w:ilvl="3">
      <w:start w:val="1"/>
      <w:numFmt w:val="decimal"/>
      <w:lvlText w:val="%4."/>
      <w:lvlJc w:val="left"/>
      <w:pPr>
        <w:ind w:left="3092" w:hanging="480"/>
      </w:pPr>
      <w:rPr>
        <w:rFonts w:cs="Times New Roman"/>
      </w:rPr>
    </w:lvl>
    <w:lvl w:ilvl="4">
      <w:start w:val="1"/>
      <w:numFmt w:val="ideographTraditional"/>
      <w:lvlText w:val="%5、"/>
      <w:lvlJc w:val="left"/>
      <w:pPr>
        <w:ind w:left="3572" w:hanging="480"/>
      </w:pPr>
      <w:rPr>
        <w:rFonts w:cs="Times New Roman"/>
      </w:rPr>
    </w:lvl>
    <w:lvl w:ilvl="5">
      <w:start w:val="1"/>
      <w:numFmt w:val="lowerRoman"/>
      <w:lvlText w:val="%6."/>
      <w:lvlJc w:val="right"/>
      <w:pPr>
        <w:ind w:left="4052" w:hanging="480"/>
      </w:pPr>
      <w:rPr>
        <w:rFonts w:cs="Times New Roman"/>
      </w:rPr>
    </w:lvl>
    <w:lvl w:ilvl="6">
      <w:start w:val="1"/>
      <w:numFmt w:val="decimal"/>
      <w:lvlText w:val="%7."/>
      <w:lvlJc w:val="left"/>
      <w:pPr>
        <w:ind w:left="4532" w:hanging="480"/>
      </w:pPr>
      <w:rPr>
        <w:rFonts w:cs="Times New Roman"/>
      </w:rPr>
    </w:lvl>
    <w:lvl w:ilvl="7">
      <w:start w:val="1"/>
      <w:numFmt w:val="ideographTraditional"/>
      <w:lvlText w:val="%8、"/>
      <w:lvlJc w:val="left"/>
      <w:pPr>
        <w:ind w:left="5012" w:hanging="480"/>
      </w:pPr>
      <w:rPr>
        <w:rFonts w:cs="Times New Roman"/>
      </w:rPr>
    </w:lvl>
    <w:lvl w:ilvl="8">
      <w:start w:val="1"/>
      <w:numFmt w:val="lowerRoman"/>
      <w:lvlText w:val="%9."/>
      <w:lvlJc w:val="right"/>
      <w:pPr>
        <w:ind w:left="5492" w:hanging="480"/>
      </w:pPr>
      <w:rPr>
        <w:rFonts w:cs="Times New Roman"/>
      </w:rPr>
    </w:lvl>
  </w:abstractNum>
  <w:abstractNum w:abstractNumId="32" w15:restartNumberingAfterBreak="0">
    <w:nsid w:val="562A4EDA"/>
    <w:multiLevelType w:val="multilevel"/>
    <w:tmpl w:val="AF722AFE"/>
    <w:styleLink w:val="WWNum22"/>
    <w:lvl w:ilvl="0">
      <w:start w:val="1"/>
      <w:numFmt w:val="japaneseCounting"/>
      <w:lvlText w:val="(%1)"/>
      <w:lvlJc w:val="left"/>
      <w:pPr>
        <w:ind w:left="737" w:hanging="624"/>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3" w15:restartNumberingAfterBreak="0">
    <w:nsid w:val="564601CF"/>
    <w:multiLevelType w:val="multilevel"/>
    <w:tmpl w:val="30964956"/>
    <w:styleLink w:val="WWNum38"/>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5BA21971"/>
    <w:multiLevelType w:val="multilevel"/>
    <w:tmpl w:val="76A89E38"/>
    <w:styleLink w:val="WWNum3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5D8D44CA"/>
    <w:multiLevelType w:val="multilevel"/>
    <w:tmpl w:val="8892D770"/>
    <w:styleLink w:val="NumberingABC"/>
    <w:lvl w:ilvl="0">
      <w:start w:val="1"/>
      <w:numFmt w:val="upperLetter"/>
      <w:lvlText w:val="%1."/>
      <w:lvlJc w:val="left"/>
      <w:pPr>
        <w:ind w:left="754" w:hanging="397"/>
      </w:pPr>
    </w:lvl>
    <w:lvl w:ilvl="1">
      <w:start w:val="1"/>
      <w:numFmt w:val="upperLetter"/>
      <w:lvlText w:val="%2."/>
      <w:lvlJc w:val="left"/>
      <w:pPr>
        <w:ind w:left="1151" w:hanging="397"/>
      </w:pPr>
    </w:lvl>
    <w:lvl w:ilvl="2">
      <w:start w:val="1"/>
      <w:numFmt w:val="upperLetter"/>
      <w:lvlText w:val="%3."/>
      <w:lvlJc w:val="left"/>
      <w:pPr>
        <w:ind w:left="1548" w:hanging="397"/>
      </w:pPr>
    </w:lvl>
    <w:lvl w:ilvl="3">
      <w:start w:val="1"/>
      <w:numFmt w:val="upperLetter"/>
      <w:lvlText w:val="%4."/>
      <w:lvlJc w:val="left"/>
      <w:pPr>
        <w:ind w:left="1945" w:hanging="397"/>
      </w:pPr>
    </w:lvl>
    <w:lvl w:ilvl="4">
      <w:start w:val="1"/>
      <w:numFmt w:val="upperLetter"/>
      <w:lvlText w:val="%5."/>
      <w:lvlJc w:val="left"/>
      <w:pPr>
        <w:ind w:left="2342" w:hanging="397"/>
      </w:pPr>
    </w:lvl>
    <w:lvl w:ilvl="5">
      <w:start w:val="1"/>
      <w:numFmt w:val="upperLetter"/>
      <w:lvlText w:val="%6."/>
      <w:lvlJc w:val="left"/>
      <w:pPr>
        <w:ind w:left="2739" w:hanging="397"/>
      </w:pPr>
    </w:lvl>
    <w:lvl w:ilvl="6">
      <w:start w:val="1"/>
      <w:numFmt w:val="upperLetter"/>
      <w:lvlText w:val="%7."/>
      <w:lvlJc w:val="left"/>
      <w:pPr>
        <w:ind w:left="3136" w:hanging="397"/>
      </w:pPr>
    </w:lvl>
    <w:lvl w:ilvl="7">
      <w:start w:val="1"/>
      <w:numFmt w:val="upperLetter"/>
      <w:lvlText w:val="%8."/>
      <w:lvlJc w:val="left"/>
      <w:pPr>
        <w:ind w:left="3533" w:hanging="397"/>
      </w:pPr>
    </w:lvl>
    <w:lvl w:ilvl="8">
      <w:start w:val="1"/>
      <w:numFmt w:val="upperLetter"/>
      <w:lvlText w:val="%9."/>
      <w:lvlJc w:val="left"/>
      <w:pPr>
        <w:ind w:left="3930" w:hanging="397"/>
      </w:pPr>
    </w:lvl>
  </w:abstractNum>
  <w:abstractNum w:abstractNumId="36" w15:restartNumberingAfterBreak="0">
    <w:nsid w:val="5E8569E2"/>
    <w:multiLevelType w:val="multilevel"/>
    <w:tmpl w:val="AD264098"/>
    <w:styleLink w:val="WWNum33"/>
    <w:lvl w:ilvl="0">
      <w:start w:val="2"/>
      <w:numFmt w:val="japaneseCounting"/>
      <w:lvlText w:val="%1、"/>
      <w:lvlJc w:val="left"/>
      <w:pPr>
        <w:ind w:left="420" w:hanging="4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7" w15:restartNumberingAfterBreak="0">
    <w:nsid w:val="5F8538D7"/>
    <w:multiLevelType w:val="multilevel"/>
    <w:tmpl w:val="C21C5D7E"/>
    <w:styleLink w:val="WWNum40"/>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5FE93E7F"/>
    <w:multiLevelType w:val="multilevel"/>
    <w:tmpl w:val="A46C76A8"/>
    <w:styleLink w:val="WWNum11"/>
    <w:lvl w:ilvl="0">
      <w:start w:val="1"/>
      <w:numFmt w:val="japaneseCounting"/>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9" w15:restartNumberingAfterBreak="0">
    <w:nsid w:val="681B28C5"/>
    <w:multiLevelType w:val="multilevel"/>
    <w:tmpl w:val="88AA5044"/>
    <w:styleLink w:val="WWNum39"/>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70000AB7"/>
    <w:multiLevelType w:val="multilevel"/>
    <w:tmpl w:val="A1DC06A2"/>
    <w:styleLink w:val="WWNum4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702C1816"/>
    <w:multiLevelType w:val="multilevel"/>
    <w:tmpl w:val="67521680"/>
    <w:styleLink w:val="WWNum8"/>
    <w:lvl w:ilvl="0">
      <w:start w:val="1"/>
      <w:numFmt w:val="japaneseCounting"/>
      <w:lvlText w:val="%1、"/>
      <w:lvlJc w:val="left"/>
      <w:pPr>
        <w:ind w:left="480" w:hanging="480"/>
      </w:pPr>
      <w:rPr>
        <w:rFonts w:cs="Times New Roman"/>
        <w:u w:val="no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2" w15:restartNumberingAfterBreak="0">
    <w:nsid w:val="72DE0585"/>
    <w:multiLevelType w:val="multilevel"/>
    <w:tmpl w:val="F0988D22"/>
    <w:styleLink w:val="WWNum21"/>
    <w:lvl w:ilvl="0">
      <w:start w:val="3"/>
      <w:numFmt w:val="none"/>
      <w:lvlText w:val="%1一）"/>
      <w:lvlJc w:val="left"/>
      <w:pPr>
        <w:ind w:left="96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3" w15:restartNumberingAfterBreak="0">
    <w:nsid w:val="73AD7869"/>
    <w:multiLevelType w:val="multilevel"/>
    <w:tmpl w:val="3208D2A0"/>
    <w:styleLink w:val="WWNum34"/>
    <w:lvl w:ilvl="0">
      <w:start w:val="1"/>
      <w:numFmt w:val="japaneseCounting"/>
      <w:lvlText w:val="(%1)"/>
      <w:lvlJc w:val="left"/>
      <w:pPr>
        <w:ind w:left="737" w:hanging="624"/>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4" w15:restartNumberingAfterBreak="0">
    <w:nsid w:val="744F55FD"/>
    <w:multiLevelType w:val="multilevel"/>
    <w:tmpl w:val="0F2C8C6C"/>
    <w:styleLink w:val="WWNum16"/>
    <w:lvl w:ilvl="0">
      <w:start w:val="2"/>
      <w:numFmt w:val="japaneseCounting"/>
      <w:lvlText w:val="%1、"/>
      <w:lvlJc w:val="left"/>
      <w:pPr>
        <w:ind w:left="480" w:hanging="48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770247FA"/>
    <w:multiLevelType w:val="multilevel"/>
    <w:tmpl w:val="2084B300"/>
    <w:styleLink w:val="WWNum7"/>
    <w:lvl w:ilvl="0">
      <w:start w:val="1"/>
      <w:numFmt w:val="lowerLetter"/>
      <w:lvlText w:val="%1."/>
      <w:lvlJc w:val="left"/>
      <w:pPr>
        <w:ind w:left="1532" w:hanging="360"/>
      </w:pPr>
      <w:rPr>
        <w:rFonts w:cs="Times New Roman"/>
      </w:rPr>
    </w:lvl>
    <w:lvl w:ilvl="1">
      <w:start w:val="1"/>
      <w:numFmt w:val="ideographTraditional"/>
      <w:lvlText w:val="%2、"/>
      <w:lvlJc w:val="left"/>
      <w:pPr>
        <w:ind w:left="2132" w:hanging="480"/>
      </w:pPr>
      <w:rPr>
        <w:rFonts w:cs="Times New Roman"/>
      </w:rPr>
    </w:lvl>
    <w:lvl w:ilvl="2">
      <w:start w:val="1"/>
      <w:numFmt w:val="lowerRoman"/>
      <w:lvlText w:val="%3."/>
      <w:lvlJc w:val="right"/>
      <w:pPr>
        <w:ind w:left="2612" w:hanging="480"/>
      </w:pPr>
      <w:rPr>
        <w:rFonts w:cs="Times New Roman"/>
      </w:rPr>
    </w:lvl>
    <w:lvl w:ilvl="3">
      <w:start w:val="1"/>
      <w:numFmt w:val="decimal"/>
      <w:lvlText w:val="%4."/>
      <w:lvlJc w:val="left"/>
      <w:pPr>
        <w:ind w:left="3092" w:hanging="480"/>
      </w:pPr>
      <w:rPr>
        <w:rFonts w:cs="Times New Roman"/>
      </w:rPr>
    </w:lvl>
    <w:lvl w:ilvl="4">
      <w:start w:val="1"/>
      <w:numFmt w:val="ideographTraditional"/>
      <w:lvlText w:val="%5、"/>
      <w:lvlJc w:val="left"/>
      <w:pPr>
        <w:ind w:left="3572" w:hanging="480"/>
      </w:pPr>
      <w:rPr>
        <w:rFonts w:cs="Times New Roman"/>
      </w:rPr>
    </w:lvl>
    <w:lvl w:ilvl="5">
      <w:start w:val="1"/>
      <w:numFmt w:val="lowerRoman"/>
      <w:lvlText w:val="%6."/>
      <w:lvlJc w:val="right"/>
      <w:pPr>
        <w:ind w:left="4052" w:hanging="480"/>
      </w:pPr>
      <w:rPr>
        <w:rFonts w:cs="Times New Roman"/>
      </w:rPr>
    </w:lvl>
    <w:lvl w:ilvl="6">
      <w:start w:val="1"/>
      <w:numFmt w:val="decimal"/>
      <w:lvlText w:val="%7."/>
      <w:lvlJc w:val="left"/>
      <w:pPr>
        <w:ind w:left="4532" w:hanging="480"/>
      </w:pPr>
      <w:rPr>
        <w:rFonts w:cs="Times New Roman"/>
      </w:rPr>
    </w:lvl>
    <w:lvl w:ilvl="7">
      <w:start w:val="1"/>
      <w:numFmt w:val="ideographTraditional"/>
      <w:lvlText w:val="%8、"/>
      <w:lvlJc w:val="left"/>
      <w:pPr>
        <w:ind w:left="5012" w:hanging="480"/>
      </w:pPr>
      <w:rPr>
        <w:rFonts w:cs="Times New Roman"/>
      </w:rPr>
    </w:lvl>
    <w:lvl w:ilvl="8">
      <w:start w:val="1"/>
      <w:numFmt w:val="lowerRoman"/>
      <w:lvlText w:val="%9."/>
      <w:lvlJc w:val="right"/>
      <w:pPr>
        <w:ind w:left="5492" w:hanging="480"/>
      </w:pPr>
      <w:rPr>
        <w:rFonts w:cs="Times New Roman"/>
      </w:rPr>
    </w:lvl>
  </w:abstractNum>
  <w:abstractNum w:abstractNumId="46" w15:restartNumberingAfterBreak="0">
    <w:nsid w:val="79951AF6"/>
    <w:multiLevelType w:val="multilevel"/>
    <w:tmpl w:val="FEB86076"/>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7" w15:restartNumberingAfterBreak="0">
    <w:nsid w:val="7D1C6CBC"/>
    <w:multiLevelType w:val="multilevel"/>
    <w:tmpl w:val="4FA02324"/>
    <w:styleLink w:val="WWNum18"/>
    <w:lvl w:ilvl="0">
      <w:start w:val="1"/>
      <w:numFmt w:val="japaneseCounting"/>
      <w:lvlText w:val="(%1)"/>
      <w:lvlJc w:val="left"/>
      <w:pPr>
        <w:ind w:left="737" w:hanging="624"/>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7866830">
    <w:abstractNumId w:val="46"/>
  </w:num>
  <w:num w:numId="2" w16cid:durableId="1299988830">
    <w:abstractNumId w:val="35"/>
  </w:num>
  <w:num w:numId="3" w16cid:durableId="1708681183">
    <w:abstractNumId w:val="1"/>
  </w:num>
  <w:num w:numId="4" w16cid:durableId="305859649">
    <w:abstractNumId w:val="9"/>
  </w:num>
  <w:num w:numId="5" w16cid:durableId="1100638293">
    <w:abstractNumId w:val="29"/>
  </w:num>
  <w:num w:numId="6" w16cid:durableId="148400379">
    <w:abstractNumId w:val="30"/>
  </w:num>
  <w:num w:numId="7" w16cid:durableId="1173840220">
    <w:abstractNumId w:val="10"/>
  </w:num>
  <w:num w:numId="8" w16cid:durableId="2050034684">
    <w:abstractNumId w:val="31"/>
  </w:num>
  <w:num w:numId="9" w16cid:durableId="1267543525">
    <w:abstractNumId w:val="45"/>
  </w:num>
  <w:num w:numId="10" w16cid:durableId="1038580601">
    <w:abstractNumId w:val="41"/>
  </w:num>
  <w:num w:numId="11" w16cid:durableId="1537934831">
    <w:abstractNumId w:val="14"/>
  </w:num>
  <w:num w:numId="12" w16cid:durableId="1297024942">
    <w:abstractNumId w:val="23"/>
  </w:num>
  <w:num w:numId="13" w16cid:durableId="1200122547">
    <w:abstractNumId w:val="38"/>
  </w:num>
  <w:num w:numId="14" w16cid:durableId="1512797279">
    <w:abstractNumId w:val="15"/>
  </w:num>
  <w:num w:numId="15" w16cid:durableId="823737665">
    <w:abstractNumId w:val="19"/>
  </w:num>
  <w:num w:numId="16" w16cid:durableId="1078133057">
    <w:abstractNumId w:val="13"/>
  </w:num>
  <w:num w:numId="17" w16cid:durableId="984238010">
    <w:abstractNumId w:val="20"/>
  </w:num>
  <w:num w:numId="18" w16cid:durableId="902326390">
    <w:abstractNumId w:val="44"/>
  </w:num>
  <w:num w:numId="19" w16cid:durableId="1984120199">
    <w:abstractNumId w:val="28"/>
  </w:num>
  <w:num w:numId="20" w16cid:durableId="1338728525">
    <w:abstractNumId w:val="47"/>
  </w:num>
  <w:num w:numId="21" w16cid:durableId="1909798990">
    <w:abstractNumId w:val="12"/>
  </w:num>
  <w:num w:numId="22" w16cid:durableId="1047266773">
    <w:abstractNumId w:val="21"/>
  </w:num>
  <w:num w:numId="23" w16cid:durableId="1703434257">
    <w:abstractNumId w:val="42"/>
  </w:num>
  <w:num w:numId="24" w16cid:durableId="1715302701">
    <w:abstractNumId w:val="32"/>
  </w:num>
  <w:num w:numId="25" w16cid:durableId="1447889361">
    <w:abstractNumId w:val="6"/>
  </w:num>
  <w:num w:numId="26" w16cid:durableId="1481651107">
    <w:abstractNumId w:val="22"/>
  </w:num>
  <w:num w:numId="27" w16cid:durableId="265355363">
    <w:abstractNumId w:val="17"/>
  </w:num>
  <w:num w:numId="28" w16cid:durableId="1313755015">
    <w:abstractNumId w:val="3"/>
  </w:num>
  <w:num w:numId="29" w16cid:durableId="1841579404">
    <w:abstractNumId w:val="25"/>
  </w:num>
  <w:num w:numId="30" w16cid:durableId="1177961718">
    <w:abstractNumId w:val="24"/>
  </w:num>
  <w:num w:numId="31" w16cid:durableId="119157410">
    <w:abstractNumId w:val="27"/>
  </w:num>
  <w:num w:numId="32" w16cid:durableId="1220944011">
    <w:abstractNumId w:val="8"/>
  </w:num>
  <w:num w:numId="33" w16cid:durableId="52629451">
    <w:abstractNumId w:val="16"/>
  </w:num>
  <w:num w:numId="34" w16cid:durableId="482159243">
    <w:abstractNumId w:val="7"/>
  </w:num>
  <w:num w:numId="35" w16cid:durableId="1215235244">
    <w:abstractNumId w:val="36"/>
  </w:num>
  <w:num w:numId="36" w16cid:durableId="1943030739">
    <w:abstractNumId w:val="43"/>
  </w:num>
  <w:num w:numId="37" w16cid:durableId="1636831985">
    <w:abstractNumId w:val="18"/>
  </w:num>
  <w:num w:numId="38" w16cid:durableId="873542490">
    <w:abstractNumId w:val="34"/>
  </w:num>
  <w:num w:numId="39" w16cid:durableId="611130231">
    <w:abstractNumId w:val="26"/>
  </w:num>
  <w:num w:numId="40" w16cid:durableId="1734157019">
    <w:abstractNumId w:val="33"/>
  </w:num>
  <w:num w:numId="41" w16cid:durableId="1821656721">
    <w:abstractNumId w:val="39"/>
  </w:num>
  <w:num w:numId="42" w16cid:durableId="97725532">
    <w:abstractNumId w:val="37"/>
  </w:num>
  <w:num w:numId="43" w16cid:durableId="513690609">
    <w:abstractNumId w:val="2"/>
  </w:num>
  <w:num w:numId="44" w16cid:durableId="1736049676">
    <w:abstractNumId w:val="11"/>
  </w:num>
  <w:num w:numId="45" w16cid:durableId="1860853341">
    <w:abstractNumId w:val="40"/>
  </w:num>
  <w:num w:numId="46" w16cid:durableId="825322016">
    <w:abstractNumId w:val="4"/>
  </w:num>
  <w:num w:numId="47" w16cid:durableId="310794282">
    <w:abstractNumId w:val="0"/>
  </w:num>
  <w:num w:numId="48" w16cid:durableId="12676161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A2820"/>
    <w:rsid w:val="004C509C"/>
    <w:rsid w:val="00CA2820"/>
    <w:rsid w:val="00D45C0C"/>
    <w:rsid w:val="00ED48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30BEF6-28B0-4CE9-B430-5041CAF22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kern w:val="3"/>
        <w:sz w:val="24"/>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Heading"/>
    <w:next w:val="Textbody"/>
    <w:uiPriority w:val="9"/>
    <w:qFormat/>
    <w:pPr>
      <w:outlineLvl w:val="0"/>
    </w:pPr>
    <w:rPr>
      <w:b/>
      <w:bCs/>
      <w:sz w:val="36"/>
      <w:szCs w:val="36"/>
    </w:rPr>
  </w:style>
  <w:style w:type="paragraph" w:styleId="3">
    <w:name w:val="heading 3"/>
    <w:basedOn w:val="Textbody"/>
    <w:uiPriority w:val="9"/>
    <w:semiHidden/>
    <w:unhideWhenUsed/>
    <w:qFormat/>
    <w:pPr>
      <w:widowControl/>
      <w:suppressAutoHyphens w:val="0"/>
      <w:spacing w:before="100" w:after="100"/>
      <w:textAlignment w:val="auto"/>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rPr>
      <w:rFonts w:ascii="標楷體" w:eastAsia="標楷體" w:hAnsi="標楷體" w:cs="標楷體"/>
      <w:u w:val="single"/>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Standard"/>
    <w:pPr>
      <w:tabs>
        <w:tab w:val="center" w:pos="4153"/>
        <w:tab w:val="right" w:pos="8306"/>
      </w:tabs>
      <w:snapToGrid w:val="0"/>
    </w:pPr>
    <w:rPr>
      <w:sz w:val="20"/>
    </w:rPr>
  </w:style>
  <w:style w:type="paragraph" w:styleId="a6">
    <w:name w:val="footer"/>
    <w:basedOn w:val="Standard"/>
    <w:pPr>
      <w:tabs>
        <w:tab w:val="center" w:pos="4153"/>
        <w:tab w:val="right" w:pos="8306"/>
      </w:tabs>
      <w:snapToGrid w:val="0"/>
    </w:pPr>
    <w:rPr>
      <w:sz w:val="20"/>
    </w:rPr>
  </w:style>
  <w:style w:type="paragraph" w:customStyle="1" w:styleId="Textbodyindent">
    <w:name w:val="Text body indent"/>
    <w:basedOn w:val="Standard"/>
    <w:pPr>
      <w:ind w:left="212" w:hanging="212"/>
    </w:pPr>
  </w:style>
  <w:style w:type="paragraph" w:styleId="2">
    <w:name w:val="Body Text Indent 2"/>
    <w:basedOn w:val="Standard"/>
    <w:pPr>
      <w:ind w:left="480"/>
    </w:pPr>
    <w:rPr>
      <w:rFonts w:ascii="標楷體" w:eastAsia="標楷體" w:hAnsi="標楷體" w:cs="標楷體"/>
    </w:rPr>
  </w:style>
  <w:style w:type="paragraph" w:styleId="30">
    <w:name w:val="Body Text Indent 3"/>
    <w:basedOn w:val="Standard"/>
    <w:pPr>
      <w:ind w:left="451" w:hanging="451"/>
    </w:pPr>
    <w:rPr>
      <w:rFonts w:ascii="標楷體" w:eastAsia="標楷體" w:hAnsi="標楷體" w:cs="標楷體"/>
    </w:rPr>
  </w:style>
  <w:style w:type="paragraph" w:styleId="20">
    <w:name w:val="Body Text 2"/>
    <w:basedOn w:val="Standard"/>
    <w:pPr>
      <w:tabs>
        <w:tab w:val="left" w:pos="1744"/>
      </w:tabs>
      <w:snapToGrid w:val="0"/>
      <w:spacing w:line="320" w:lineRule="exact"/>
      <w:jc w:val="both"/>
    </w:pPr>
    <w:rPr>
      <w:rFonts w:ascii="標楷體" w:eastAsia="標楷體" w:hAnsi="標楷體" w:cs="標楷體"/>
    </w:rPr>
  </w:style>
  <w:style w:type="paragraph" w:styleId="a7">
    <w:name w:val="Plain Text"/>
    <w:basedOn w:val="Standard"/>
    <w:rPr>
      <w:rFonts w:ascii="細明體" w:eastAsia="細明體" w:hAnsi="細明體" w:cs="細明體"/>
      <w:szCs w:val="24"/>
    </w:rPr>
  </w:style>
  <w:style w:type="paragraph" w:styleId="31">
    <w:name w:val="Body Text 3"/>
    <w:basedOn w:val="Standard"/>
    <w:pPr>
      <w:snapToGrid w:val="0"/>
      <w:spacing w:line="300" w:lineRule="exact"/>
      <w:jc w:val="both"/>
    </w:pPr>
    <w:rPr>
      <w:rFonts w:ascii="標楷體" w:eastAsia="標楷體" w:hAnsi="標楷體" w:cs="標楷體"/>
      <w:sz w:val="22"/>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Standard"/>
    <w:rPr>
      <w:rFonts w:ascii="Arial" w:eastAsia="Arial" w:hAnsi="Arial" w:cs="Arial"/>
      <w:sz w:val="18"/>
      <w:szCs w:val="18"/>
    </w:rPr>
  </w:style>
  <w:style w:type="paragraph" w:styleId="a9">
    <w:name w:val="annotation text"/>
    <w:basedOn w:val="Standard"/>
  </w:style>
  <w:style w:type="paragraph" w:styleId="aa">
    <w:name w:val="annotation subject"/>
    <w:basedOn w:val="a9"/>
    <w:rPr>
      <w:b/>
      <w:bCs/>
    </w:rPr>
  </w:style>
  <w:style w:type="paragraph" w:styleId="ab">
    <w:name w:val="List Paragraph"/>
    <w:basedOn w:val="Standard"/>
    <w:pPr>
      <w:ind w:left="48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10">
    <w:name w:val="表格內文1"/>
    <w:pPr>
      <w:widowControl/>
      <w:textAlignment w:val="auto"/>
    </w:pPr>
    <w:rPr>
      <w:sz w:val="20"/>
    </w:rPr>
  </w:style>
  <w:style w:type="paragraph" w:customStyle="1" w:styleId="TableParagraph">
    <w:name w:val="Table Paragraph"/>
    <w:basedOn w:val="Textbody"/>
    <w:pPr>
      <w:widowControl/>
      <w:suppressAutoHyphens w:val="0"/>
      <w:textAlignment w:val="auto"/>
    </w:pPr>
    <w:rPr>
      <w:rFonts w:ascii="新細明體" w:eastAsia="新細明體" w:hAnsi="新細明體" w:cs="新細明體"/>
      <w:kern w:val="0"/>
      <w:szCs w:val="24"/>
    </w:rPr>
  </w:style>
  <w:style w:type="character" w:customStyle="1" w:styleId="ac">
    <w:name w:val="頁首 字元"/>
    <w:rPr>
      <w:rFonts w:cs="Times New Roman"/>
      <w:kern w:val="3"/>
    </w:rPr>
  </w:style>
  <w:style w:type="character" w:customStyle="1" w:styleId="ad">
    <w:name w:val="頁尾 字元"/>
    <w:rPr>
      <w:rFonts w:cs="Times New Roman"/>
      <w:kern w:val="3"/>
    </w:rPr>
  </w:style>
  <w:style w:type="character" w:customStyle="1" w:styleId="ae">
    <w:name w:val="本文縮排 字元"/>
    <w:rPr>
      <w:rFonts w:cs="Times New Roman"/>
      <w:kern w:val="3"/>
      <w:sz w:val="24"/>
    </w:rPr>
  </w:style>
  <w:style w:type="character" w:customStyle="1" w:styleId="af">
    <w:name w:val="本文 字元"/>
    <w:rPr>
      <w:rFonts w:cs="Times New Roman"/>
      <w:kern w:val="3"/>
      <w:sz w:val="24"/>
    </w:rPr>
  </w:style>
  <w:style w:type="character" w:customStyle="1" w:styleId="21">
    <w:name w:val="本文縮排 2 字元"/>
    <w:rPr>
      <w:rFonts w:cs="Times New Roman"/>
      <w:kern w:val="3"/>
      <w:sz w:val="24"/>
    </w:rPr>
  </w:style>
  <w:style w:type="character" w:customStyle="1" w:styleId="32">
    <w:name w:val="本文縮排 3 字元"/>
    <w:rPr>
      <w:rFonts w:cs="Times New Roman"/>
      <w:kern w:val="3"/>
      <w:sz w:val="16"/>
      <w:szCs w:val="16"/>
    </w:rPr>
  </w:style>
  <w:style w:type="character" w:customStyle="1" w:styleId="22">
    <w:name w:val="本文 2 字元"/>
    <w:rPr>
      <w:rFonts w:cs="Times New Roman"/>
      <w:kern w:val="3"/>
      <w:sz w:val="24"/>
    </w:rPr>
  </w:style>
  <w:style w:type="character" w:styleId="af0">
    <w:name w:val="page number"/>
    <w:rPr>
      <w:rFonts w:cs="Times New Roman"/>
    </w:rPr>
  </w:style>
  <w:style w:type="character" w:customStyle="1" w:styleId="af1">
    <w:name w:val="純文字 字元"/>
    <w:rPr>
      <w:rFonts w:ascii="細明體" w:eastAsia="細明體" w:hAnsi="細明體" w:cs="Courier New"/>
      <w:kern w:val="3"/>
      <w:sz w:val="24"/>
      <w:szCs w:val="24"/>
    </w:rPr>
  </w:style>
  <w:style w:type="character" w:customStyle="1" w:styleId="33">
    <w:name w:val="本文 3 字元"/>
    <w:rPr>
      <w:rFonts w:cs="Times New Roman"/>
      <w:kern w:val="3"/>
      <w:sz w:val="16"/>
      <w:szCs w:val="16"/>
    </w:rPr>
  </w:style>
  <w:style w:type="character" w:customStyle="1" w:styleId="HTML0">
    <w:name w:val="HTML 預設格式 字元"/>
    <w:rPr>
      <w:rFonts w:ascii="Courier New" w:eastAsia="Courier New" w:hAnsi="Courier New" w:cs="Courier New"/>
      <w:kern w:val="3"/>
    </w:rPr>
  </w:style>
  <w:style w:type="character" w:styleId="af2">
    <w:name w:val="Strong"/>
    <w:rPr>
      <w:rFonts w:cs="Times New Roman"/>
      <w:b/>
      <w:bCs/>
    </w:rPr>
  </w:style>
  <w:style w:type="character" w:customStyle="1" w:styleId="af3">
    <w:name w:val="註解方塊文字 字元"/>
    <w:rPr>
      <w:rFonts w:ascii="Cambria" w:eastAsia="新細明體" w:hAnsi="Cambria" w:cs="Times New Roman"/>
      <w:kern w:val="3"/>
      <w:sz w:val="2"/>
    </w:rPr>
  </w:style>
  <w:style w:type="character" w:styleId="af4">
    <w:name w:val="annotation reference"/>
    <w:rPr>
      <w:rFonts w:cs="Times New Roman"/>
      <w:sz w:val="18"/>
      <w:szCs w:val="18"/>
    </w:rPr>
  </w:style>
  <w:style w:type="character" w:customStyle="1" w:styleId="af5">
    <w:name w:val="註解文字 字元"/>
    <w:rPr>
      <w:rFonts w:cs="Times New Roman"/>
      <w:kern w:val="3"/>
      <w:sz w:val="24"/>
    </w:rPr>
  </w:style>
  <w:style w:type="character" w:customStyle="1" w:styleId="af6">
    <w:name w:val="註解主旨 字元"/>
    <w:rPr>
      <w:rFonts w:cs="Times New Roman"/>
      <w:b/>
      <w:bCs/>
      <w:kern w:val="3"/>
      <w:sz w:val="24"/>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Times New Roman"/>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Times New Roman"/>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cs="Times New Roman"/>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Times New Roman"/>
    </w:rPr>
  </w:style>
  <w:style w:type="character" w:customStyle="1" w:styleId="ListLabel56">
    <w:name w:val="ListLabel 56"/>
    <w:rPr>
      <w:rFonts w:cs="Times New Roman"/>
    </w:rPr>
  </w:style>
  <w:style w:type="character" w:customStyle="1" w:styleId="ListLabel57">
    <w:name w:val="ListLabel 57"/>
    <w:rPr>
      <w:rFonts w:cs="Times New Roman"/>
    </w:rPr>
  </w:style>
  <w:style w:type="character" w:customStyle="1" w:styleId="ListLabel58">
    <w:name w:val="ListLabel 58"/>
    <w:rPr>
      <w:rFonts w:cs="Times New Roman"/>
    </w:rPr>
  </w:style>
  <w:style w:type="character" w:customStyle="1" w:styleId="ListLabel59">
    <w:name w:val="ListLabel 59"/>
    <w:rPr>
      <w:rFonts w:cs="Times New Roman"/>
    </w:rPr>
  </w:style>
  <w:style w:type="character" w:customStyle="1" w:styleId="ListLabel60">
    <w:name w:val="ListLabel 60"/>
    <w:rPr>
      <w:rFonts w:cs="Times New Roman"/>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Times New Roman"/>
      <w:u w:val="none"/>
    </w:rPr>
  </w:style>
  <w:style w:type="character" w:customStyle="1" w:styleId="ListLabel65">
    <w:name w:val="ListLabel 65"/>
    <w:rPr>
      <w:rFonts w:cs="Times New Roman"/>
    </w:rPr>
  </w:style>
  <w:style w:type="character" w:customStyle="1" w:styleId="ListLabel66">
    <w:name w:val="ListLabel 66"/>
    <w:rPr>
      <w:rFonts w:cs="Times New Roman"/>
    </w:rPr>
  </w:style>
  <w:style w:type="character" w:customStyle="1" w:styleId="ListLabel67">
    <w:name w:val="ListLabel 67"/>
    <w:rPr>
      <w:rFonts w:cs="Times New Roman"/>
    </w:rPr>
  </w:style>
  <w:style w:type="character" w:customStyle="1" w:styleId="ListLabel68">
    <w:name w:val="ListLabel 68"/>
    <w:rPr>
      <w:rFonts w:cs="Times New Roman"/>
    </w:rPr>
  </w:style>
  <w:style w:type="character" w:customStyle="1" w:styleId="ListLabel69">
    <w:name w:val="ListLabel 69"/>
    <w:rPr>
      <w:rFonts w:cs="Times New Roman"/>
    </w:rPr>
  </w:style>
  <w:style w:type="character" w:customStyle="1" w:styleId="ListLabel70">
    <w:name w:val="ListLabel 70"/>
    <w:rPr>
      <w:rFonts w:cs="Times New Roman"/>
    </w:rPr>
  </w:style>
  <w:style w:type="character" w:customStyle="1" w:styleId="ListLabel71">
    <w:name w:val="ListLabel 71"/>
    <w:rPr>
      <w:rFonts w:cs="Times New Roman"/>
    </w:rPr>
  </w:style>
  <w:style w:type="character" w:customStyle="1" w:styleId="ListLabel72">
    <w:name w:val="ListLabel 72"/>
    <w:rPr>
      <w:rFonts w:cs="Times New Roman"/>
    </w:rPr>
  </w:style>
  <w:style w:type="character" w:customStyle="1" w:styleId="ListLabel73">
    <w:name w:val="ListLabel 73"/>
    <w:rPr>
      <w:rFonts w:cs="Times New Roman"/>
    </w:rPr>
  </w:style>
  <w:style w:type="character" w:customStyle="1" w:styleId="ListLabel74">
    <w:name w:val="ListLabel 74"/>
    <w:rPr>
      <w:rFonts w:cs="Times New Roman"/>
    </w:rPr>
  </w:style>
  <w:style w:type="character" w:customStyle="1" w:styleId="ListLabel75">
    <w:name w:val="ListLabel 75"/>
    <w:rPr>
      <w:rFonts w:cs="Times New Roman"/>
    </w:rPr>
  </w:style>
  <w:style w:type="character" w:customStyle="1" w:styleId="ListLabel76">
    <w:name w:val="ListLabel 76"/>
    <w:rPr>
      <w:rFonts w:cs="Times New Roman"/>
    </w:rPr>
  </w:style>
  <w:style w:type="character" w:customStyle="1" w:styleId="ListLabel77">
    <w:name w:val="ListLabel 77"/>
    <w:rPr>
      <w:rFonts w:cs="Times New Roman"/>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cs="Times New Roman"/>
    </w:rPr>
  </w:style>
  <w:style w:type="character" w:customStyle="1" w:styleId="ListLabel83">
    <w:name w:val="ListLabel 83"/>
    <w:rPr>
      <w:rFonts w:cs="Times New Roman"/>
    </w:rPr>
  </w:style>
  <w:style w:type="character" w:customStyle="1" w:styleId="ListLabel84">
    <w:name w:val="ListLabel 84"/>
    <w:rPr>
      <w:rFonts w:cs="Times New Roman"/>
    </w:rPr>
  </w:style>
  <w:style w:type="character" w:customStyle="1" w:styleId="ListLabel85">
    <w:name w:val="ListLabel 85"/>
    <w:rPr>
      <w:rFonts w:cs="Times New Roman"/>
    </w:rPr>
  </w:style>
  <w:style w:type="character" w:customStyle="1" w:styleId="ListLabel86">
    <w:name w:val="ListLabel 86"/>
    <w:rPr>
      <w:rFonts w:cs="Times New Roman"/>
    </w:rPr>
  </w:style>
  <w:style w:type="character" w:customStyle="1" w:styleId="ListLabel87">
    <w:name w:val="ListLabel 87"/>
    <w:rPr>
      <w:rFonts w:cs="Times New Roman"/>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rFonts w:cs="Times New Roman"/>
    </w:rPr>
  </w:style>
  <w:style w:type="character" w:customStyle="1" w:styleId="ListLabel92">
    <w:name w:val="ListLabel 92"/>
    <w:rPr>
      <w:rFonts w:cs="Times New Roman"/>
    </w:rPr>
  </w:style>
  <w:style w:type="character" w:customStyle="1" w:styleId="ListLabel93">
    <w:name w:val="ListLabel 93"/>
    <w:rPr>
      <w:rFonts w:cs="Times New Roman"/>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cs="Times New Roman"/>
    </w:rPr>
  </w:style>
  <w:style w:type="character" w:customStyle="1" w:styleId="ListLabel97">
    <w:name w:val="ListLabel 97"/>
    <w:rPr>
      <w:rFonts w:cs="Times New Roman"/>
    </w:rPr>
  </w:style>
  <w:style w:type="character" w:customStyle="1" w:styleId="ListLabel98">
    <w:name w:val="ListLabel 98"/>
    <w:rPr>
      <w:rFonts w:cs="Times New Roman"/>
    </w:rPr>
  </w:style>
  <w:style w:type="character" w:customStyle="1" w:styleId="ListLabel99">
    <w:name w:val="ListLabel 99"/>
    <w:rPr>
      <w:rFonts w:cs="Times New Roman"/>
    </w:rPr>
  </w:style>
  <w:style w:type="character" w:customStyle="1" w:styleId="ListLabel100">
    <w:name w:val="ListLabel 100"/>
    <w:rPr>
      <w:rFonts w:cs="Times New Roman"/>
    </w:rPr>
  </w:style>
  <w:style w:type="character" w:customStyle="1" w:styleId="ListLabel101">
    <w:name w:val="ListLabel 101"/>
    <w:rPr>
      <w:rFonts w:cs="Times New Roman"/>
    </w:rPr>
  </w:style>
  <w:style w:type="character" w:customStyle="1" w:styleId="ListLabel102">
    <w:name w:val="ListLabel 102"/>
    <w:rPr>
      <w:rFonts w:cs="Times New Roman"/>
    </w:rPr>
  </w:style>
  <w:style w:type="character" w:customStyle="1" w:styleId="ListLabel103">
    <w:name w:val="ListLabel 103"/>
    <w:rPr>
      <w:rFonts w:cs="Times New Roman"/>
    </w:rPr>
  </w:style>
  <w:style w:type="character" w:customStyle="1" w:styleId="ListLabel104">
    <w:name w:val="ListLabel 104"/>
    <w:rPr>
      <w:rFonts w:cs="Times New Roman"/>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cs="Times New Roman"/>
    </w:rPr>
  </w:style>
  <w:style w:type="character" w:customStyle="1" w:styleId="ListLabel108">
    <w:name w:val="ListLabel 108"/>
    <w:rPr>
      <w:rFonts w:cs="Times New Roman"/>
    </w:rPr>
  </w:style>
  <w:style w:type="character" w:customStyle="1" w:styleId="ListLabel109">
    <w:name w:val="ListLabel 109"/>
    <w:rPr>
      <w:rFonts w:cs="Times New Roman"/>
    </w:rPr>
  </w:style>
  <w:style w:type="character" w:customStyle="1" w:styleId="ListLabel110">
    <w:name w:val="ListLabel 110"/>
    <w:rPr>
      <w:rFonts w:cs="Times New Roman"/>
    </w:rPr>
  </w:style>
  <w:style w:type="character" w:customStyle="1" w:styleId="ListLabel111">
    <w:name w:val="ListLabel 111"/>
    <w:rPr>
      <w:rFonts w:cs="Times New Roman"/>
    </w:rPr>
  </w:style>
  <w:style w:type="character" w:customStyle="1" w:styleId="ListLabel112">
    <w:name w:val="ListLabel 112"/>
    <w:rPr>
      <w:rFonts w:cs="Times New Roman"/>
    </w:rPr>
  </w:style>
  <w:style w:type="character" w:customStyle="1" w:styleId="ListLabel113">
    <w:name w:val="ListLabel 113"/>
    <w:rPr>
      <w:rFonts w:cs="Times New Roman"/>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rFonts w:cs="Times New Roman"/>
    </w:rPr>
  </w:style>
  <w:style w:type="character" w:customStyle="1" w:styleId="ListLabel123">
    <w:name w:val="ListLabel 123"/>
    <w:rPr>
      <w:rFonts w:cs="Times New Roman"/>
    </w:rPr>
  </w:style>
  <w:style w:type="character" w:customStyle="1" w:styleId="ListLabel124">
    <w:name w:val="ListLabel 124"/>
    <w:rPr>
      <w:rFonts w:cs="Times New Roman"/>
    </w:rPr>
  </w:style>
  <w:style w:type="character" w:customStyle="1" w:styleId="ListLabel125">
    <w:name w:val="ListLabel 125"/>
    <w:rPr>
      <w:rFonts w:cs="Times New Roman"/>
    </w:rPr>
  </w:style>
  <w:style w:type="character" w:customStyle="1" w:styleId="ListLabel126">
    <w:name w:val="ListLabel 126"/>
    <w:rPr>
      <w:rFonts w:cs="Times New Roman"/>
    </w:rPr>
  </w:style>
  <w:style w:type="character" w:customStyle="1" w:styleId="ListLabel127">
    <w:name w:val="ListLabel 127"/>
    <w:rPr>
      <w:rFonts w:cs="Times New Roman"/>
    </w:rPr>
  </w:style>
  <w:style w:type="character" w:customStyle="1" w:styleId="ListLabel128">
    <w:name w:val="ListLabel 128"/>
    <w:rPr>
      <w:rFonts w:cs="Times New Roman"/>
    </w:rPr>
  </w:style>
  <w:style w:type="character" w:customStyle="1" w:styleId="ListLabel129">
    <w:name w:val="ListLabel 129"/>
    <w:rPr>
      <w:rFonts w:cs="Times New Roman"/>
    </w:rPr>
  </w:style>
  <w:style w:type="character" w:customStyle="1" w:styleId="ListLabel130">
    <w:name w:val="ListLabel 130"/>
    <w:rPr>
      <w:rFonts w:cs="Times New Roman"/>
    </w:rPr>
  </w:style>
  <w:style w:type="character" w:customStyle="1" w:styleId="ListLabel131">
    <w:name w:val="ListLabel 131"/>
    <w:rPr>
      <w:rFonts w:cs="Times New Roman"/>
    </w:rPr>
  </w:style>
  <w:style w:type="character" w:customStyle="1" w:styleId="ListLabel132">
    <w:name w:val="ListLabel 132"/>
    <w:rPr>
      <w:rFonts w:cs="Times New Roman"/>
    </w:rPr>
  </w:style>
  <w:style w:type="character" w:customStyle="1" w:styleId="ListLabel133">
    <w:name w:val="ListLabel 133"/>
    <w:rPr>
      <w:rFonts w:cs="Times New Roman"/>
    </w:rPr>
  </w:style>
  <w:style w:type="character" w:customStyle="1" w:styleId="ListLabel134">
    <w:name w:val="ListLabel 134"/>
    <w:rPr>
      <w:rFonts w:cs="Times New Roman"/>
    </w:rPr>
  </w:style>
  <w:style w:type="character" w:customStyle="1" w:styleId="ListLabel135">
    <w:name w:val="ListLabel 135"/>
    <w:rPr>
      <w:rFonts w:cs="Times New Roman"/>
    </w:rPr>
  </w:style>
  <w:style w:type="character" w:customStyle="1" w:styleId="ListLabel136">
    <w:name w:val="ListLabel 136"/>
    <w:rPr>
      <w:rFonts w:cs="Times New Roman"/>
    </w:rPr>
  </w:style>
  <w:style w:type="character" w:customStyle="1" w:styleId="ListLabel137">
    <w:name w:val="ListLabel 137"/>
    <w:rPr>
      <w:rFonts w:cs="Times New Roman"/>
    </w:rPr>
  </w:style>
  <w:style w:type="character" w:customStyle="1" w:styleId="ListLabel138">
    <w:name w:val="ListLabel 138"/>
    <w:rPr>
      <w:rFonts w:cs="Times New Roman"/>
    </w:rPr>
  </w:style>
  <w:style w:type="character" w:customStyle="1" w:styleId="ListLabel139">
    <w:name w:val="ListLabel 139"/>
    <w:rPr>
      <w:rFonts w:cs="Times New Roman"/>
    </w:rPr>
  </w:style>
  <w:style w:type="character" w:customStyle="1" w:styleId="ListLabel140">
    <w:name w:val="ListLabel 140"/>
    <w:rPr>
      <w:rFonts w:cs="Times New Roman"/>
    </w:rPr>
  </w:style>
  <w:style w:type="character" w:customStyle="1" w:styleId="ListLabel141">
    <w:name w:val="ListLabel 141"/>
    <w:rPr>
      <w:rFonts w:cs="Times New Roman"/>
    </w:rPr>
  </w:style>
  <w:style w:type="character" w:customStyle="1" w:styleId="ListLabel142">
    <w:name w:val="ListLabel 142"/>
    <w:rPr>
      <w:rFonts w:cs="Times New Roman"/>
    </w:rPr>
  </w:style>
  <w:style w:type="character" w:customStyle="1" w:styleId="ListLabel143">
    <w:name w:val="ListLabel 143"/>
    <w:rPr>
      <w:rFonts w:cs="Times New Roman"/>
    </w:rPr>
  </w:style>
  <w:style w:type="character" w:customStyle="1" w:styleId="ListLabel144">
    <w:name w:val="ListLabel 144"/>
    <w:rPr>
      <w:rFonts w:cs="Times New Roman"/>
    </w:rPr>
  </w:style>
  <w:style w:type="character" w:customStyle="1" w:styleId="ListLabel145">
    <w:name w:val="ListLabel 145"/>
    <w:rPr>
      <w:rFonts w:cs="Times New Roman"/>
    </w:rPr>
  </w:style>
  <w:style w:type="character" w:customStyle="1" w:styleId="ListLabel146">
    <w:name w:val="ListLabel 146"/>
    <w:rPr>
      <w:rFonts w:cs="Times New Roman"/>
    </w:rPr>
  </w:style>
  <w:style w:type="character" w:customStyle="1" w:styleId="ListLabel147">
    <w:name w:val="ListLabel 147"/>
    <w:rPr>
      <w:rFonts w:cs="Times New Roman"/>
    </w:rPr>
  </w:style>
  <w:style w:type="character" w:customStyle="1" w:styleId="ListLabel148">
    <w:name w:val="ListLabel 148"/>
    <w:rPr>
      <w:rFonts w:cs="Times New Roman"/>
    </w:rPr>
  </w:style>
  <w:style w:type="character" w:customStyle="1" w:styleId="ListLabel149">
    <w:name w:val="ListLabel 149"/>
    <w:rPr>
      <w:rFonts w:cs="Times New Roman"/>
    </w:rPr>
  </w:style>
  <w:style w:type="character" w:customStyle="1" w:styleId="ListLabel150">
    <w:name w:val="ListLabel 150"/>
    <w:rPr>
      <w:rFonts w:cs="Times New Roman"/>
    </w:rPr>
  </w:style>
  <w:style w:type="character" w:customStyle="1" w:styleId="ListLabel151">
    <w:name w:val="ListLabel 151"/>
    <w:rPr>
      <w:rFonts w:cs="Times New Roman"/>
    </w:rPr>
  </w:style>
  <w:style w:type="character" w:customStyle="1" w:styleId="ListLabel152">
    <w:name w:val="ListLabel 152"/>
    <w:rPr>
      <w:rFonts w:cs="Times New Roman"/>
    </w:rPr>
  </w:style>
  <w:style w:type="character" w:customStyle="1" w:styleId="ListLabel153">
    <w:name w:val="ListLabel 153"/>
    <w:rPr>
      <w:rFonts w:cs="Times New Roman"/>
    </w:rPr>
  </w:style>
  <w:style w:type="character" w:customStyle="1" w:styleId="ListLabel154">
    <w:name w:val="ListLabel 154"/>
    <w:rPr>
      <w:rFonts w:cs="Times New Roman"/>
    </w:rPr>
  </w:style>
  <w:style w:type="character" w:customStyle="1" w:styleId="ListLabel155">
    <w:name w:val="ListLabel 155"/>
    <w:rPr>
      <w:rFonts w:cs="Times New Roman"/>
    </w:rPr>
  </w:style>
  <w:style w:type="character" w:customStyle="1" w:styleId="ListLabel156">
    <w:name w:val="ListLabel 156"/>
    <w:rPr>
      <w:rFonts w:cs="Times New Roman"/>
    </w:rPr>
  </w:style>
  <w:style w:type="character" w:customStyle="1" w:styleId="ListLabel157">
    <w:name w:val="ListLabel 157"/>
    <w:rPr>
      <w:rFonts w:cs="Times New Roman"/>
    </w:rPr>
  </w:style>
  <w:style w:type="character" w:customStyle="1" w:styleId="ListLabel158">
    <w:name w:val="ListLabel 158"/>
    <w:rPr>
      <w:rFonts w:cs="Times New Roman"/>
    </w:rPr>
  </w:style>
  <w:style w:type="character" w:customStyle="1" w:styleId="ListLabel159">
    <w:name w:val="ListLabel 159"/>
    <w:rPr>
      <w:rFonts w:cs="Times New Roman"/>
    </w:rPr>
  </w:style>
  <w:style w:type="character" w:customStyle="1" w:styleId="ListLabel160">
    <w:name w:val="ListLabel 160"/>
    <w:rPr>
      <w:rFonts w:cs="Times New Roman"/>
    </w:rPr>
  </w:style>
  <w:style w:type="character" w:customStyle="1" w:styleId="ListLabel161">
    <w:name w:val="ListLabel 161"/>
    <w:rPr>
      <w:rFonts w:cs="Times New Roman"/>
    </w:rPr>
  </w:style>
  <w:style w:type="character" w:customStyle="1" w:styleId="ListLabel162">
    <w:name w:val="ListLabel 162"/>
    <w:rPr>
      <w:rFonts w:cs="Times New Roman"/>
    </w:rPr>
  </w:style>
  <w:style w:type="character" w:customStyle="1" w:styleId="ListLabel163">
    <w:name w:val="ListLabel 163"/>
    <w:rPr>
      <w:rFonts w:cs="Times New Roman"/>
    </w:rPr>
  </w:style>
  <w:style w:type="character" w:customStyle="1" w:styleId="ListLabel164">
    <w:name w:val="ListLabel 164"/>
    <w:rPr>
      <w:rFonts w:cs="Times New Roman"/>
    </w:rPr>
  </w:style>
  <w:style w:type="character" w:customStyle="1" w:styleId="ListLabel165">
    <w:name w:val="ListLabel 165"/>
    <w:rPr>
      <w:rFonts w:cs="Times New Roman"/>
    </w:rPr>
  </w:style>
  <w:style w:type="character" w:customStyle="1" w:styleId="ListLabel166">
    <w:name w:val="ListLabel 166"/>
    <w:rPr>
      <w:rFonts w:cs="Times New Roman"/>
    </w:rPr>
  </w:style>
  <w:style w:type="character" w:customStyle="1" w:styleId="ListLabel167">
    <w:name w:val="ListLabel 167"/>
    <w:rPr>
      <w:rFonts w:cs="Times New Roman"/>
    </w:rPr>
  </w:style>
  <w:style w:type="character" w:customStyle="1" w:styleId="ListLabel168">
    <w:name w:val="ListLabel 168"/>
    <w:rPr>
      <w:rFonts w:cs="Times New Roman"/>
    </w:rPr>
  </w:style>
  <w:style w:type="character" w:customStyle="1" w:styleId="ListLabel169">
    <w:name w:val="ListLabel 169"/>
    <w:rPr>
      <w:rFonts w:cs="Times New Roman"/>
    </w:rPr>
  </w:style>
  <w:style w:type="character" w:customStyle="1" w:styleId="ListLabel170">
    <w:name w:val="ListLabel 170"/>
    <w:rPr>
      <w:rFonts w:cs="Times New Roman"/>
    </w:rPr>
  </w:style>
  <w:style w:type="character" w:customStyle="1" w:styleId="ListLabel171">
    <w:name w:val="ListLabel 171"/>
    <w:rPr>
      <w:rFonts w:cs="Times New Roman"/>
    </w:rPr>
  </w:style>
  <w:style w:type="character" w:customStyle="1" w:styleId="ListLabel172">
    <w:name w:val="ListLabel 172"/>
    <w:rPr>
      <w:rFonts w:cs="Times New Roman"/>
    </w:rPr>
  </w:style>
  <w:style w:type="character" w:customStyle="1" w:styleId="ListLabel173">
    <w:name w:val="ListLabel 173"/>
    <w:rPr>
      <w:rFonts w:cs="Times New Roman"/>
    </w:rPr>
  </w:style>
  <w:style w:type="character" w:customStyle="1" w:styleId="ListLabel174">
    <w:name w:val="ListLabel 174"/>
    <w:rPr>
      <w:rFonts w:cs="Times New Roman"/>
    </w:rPr>
  </w:style>
  <w:style w:type="character" w:customStyle="1" w:styleId="ListLabel175">
    <w:name w:val="ListLabel 175"/>
    <w:rPr>
      <w:rFonts w:cs="Times New Roman"/>
    </w:rPr>
  </w:style>
  <w:style w:type="character" w:customStyle="1" w:styleId="ListLabel176">
    <w:name w:val="ListLabel 176"/>
    <w:rPr>
      <w:rFonts w:cs="Times New Roman"/>
    </w:rPr>
  </w:style>
  <w:style w:type="character" w:customStyle="1" w:styleId="ListLabel177">
    <w:name w:val="ListLabel 177"/>
    <w:rPr>
      <w:rFonts w:cs="Times New Roman"/>
    </w:rPr>
  </w:style>
  <w:style w:type="character" w:customStyle="1" w:styleId="ListLabel178">
    <w:name w:val="ListLabel 178"/>
    <w:rPr>
      <w:rFonts w:cs="Times New Roman"/>
    </w:rPr>
  </w:style>
  <w:style w:type="character" w:customStyle="1" w:styleId="ListLabel179">
    <w:name w:val="ListLabel 179"/>
    <w:rPr>
      <w:rFonts w:cs="Times New Roman"/>
    </w:rPr>
  </w:style>
  <w:style w:type="character" w:customStyle="1" w:styleId="ListLabel180">
    <w:name w:val="ListLabel 180"/>
    <w:rPr>
      <w:rFonts w:cs="Times New Roman"/>
    </w:rPr>
  </w:style>
  <w:style w:type="character" w:customStyle="1" w:styleId="ListLabel181">
    <w:name w:val="ListLabel 181"/>
    <w:rPr>
      <w:rFonts w:cs="Times New Roman"/>
    </w:rPr>
  </w:style>
  <w:style w:type="character" w:customStyle="1" w:styleId="ListLabel182">
    <w:name w:val="ListLabel 182"/>
    <w:rPr>
      <w:rFonts w:cs="Times New Roman"/>
    </w:rPr>
  </w:style>
  <w:style w:type="character" w:customStyle="1" w:styleId="ListLabel183">
    <w:name w:val="ListLabel 183"/>
    <w:rPr>
      <w:rFonts w:cs="Times New Roman"/>
    </w:rPr>
  </w:style>
  <w:style w:type="character" w:customStyle="1" w:styleId="ListLabel184">
    <w:name w:val="ListLabel 184"/>
    <w:rPr>
      <w:rFonts w:cs="Times New Roman"/>
    </w:rPr>
  </w:style>
  <w:style w:type="character" w:customStyle="1" w:styleId="ListLabel185">
    <w:name w:val="ListLabel 185"/>
    <w:rPr>
      <w:rFonts w:cs="Times New Roman"/>
    </w:rPr>
  </w:style>
  <w:style w:type="character" w:customStyle="1" w:styleId="ListLabel186">
    <w:name w:val="ListLabel 186"/>
    <w:rPr>
      <w:rFonts w:cs="Times New Roman"/>
    </w:rPr>
  </w:style>
  <w:style w:type="character" w:customStyle="1" w:styleId="ListLabel187">
    <w:name w:val="ListLabel 187"/>
    <w:rPr>
      <w:rFonts w:cs="Times New Roman"/>
    </w:rPr>
  </w:style>
  <w:style w:type="character" w:customStyle="1" w:styleId="ListLabel188">
    <w:name w:val="ListLabel 188"/>
    <w:rPr>
      <w:rFonts w:cs="Times New Roman"/>
    </w:rPr>
  </w:style>
  <w:style w:type="character" w:customStyle="1" w:styleId="ListLabel189">
    <w:name w:val="ListLabel 189"/>
    <w:rPr>
      <w:rFonts w:cs="Times New Roman"/>
    </w:rPr>
  </w:style>
  <w:style w:type="character" w:customStyle="1" w:styleId="ListLabel190">
    <w:name w:val="ListLabel 190"/>
    <w:rPr>
      <w:rFonts w:cs="Times New Roman"/>
    </w:rPr>
  </w:style>
  <w:style w:type="character" w:customStyle="1" w:styleId="ListLabel191">
    <w:name w:val="ListLabel 191"/>
    <w:rPr>
      <w:rFonts w:cs="Times New Roman"/>
    </w:rPr>
  </w:style>
  <w:style w:type="character" w:customStyle="1" w:styleId="ListLabel192">
    <w:name w:val="ListLabel 192"/>
    <w:rPr>
      <w:rFonts w:cs="Times New Roman"/>
    </w:rPr>
  </w:style>
  <w:style w:type="character" w:customStyle="1" w:styleId="ListLabel193">
    <w:name w:val="ListLabel 193"/>
    <w:rPr>
      <w:rFonts w:cs="Times New Roman"/>
    </w:rPr>
  </w:style>
  <w:style w:type="character" w:customStyle="1" w:styleId="ListLabel194">
    <w:name w:val="ListLabel 194"/>
    <w:rPr>
      <w:rFonts w:cs="Times New Roman"/>
    </w:rPr>
  </w:style>
  <w:style w:type="character" w:customStyle="1" w:styleId="ListLabel195">
    <w:name w:val="ListLabel 195"/>
    <w:rPr>
      <w:rFonts w:cs="Times New Roman"/>
    </w:rPr>
  </w:style>
  <w:style w:type="character" w:customStyle="1" w:styleId="ListLabel196">
    <w:name w:val="ListLabel 196"/>
    <w:rPr>
      <w:rFonts w:cs="Times New Roman"/>
    </w:rPr>
  </w:style>
  <w:style w:type="character" w:customStyle="1" w:styleId="ListLabel197">
    <w:name w:val="ListLabel 197"/>
    <w:rPr>
      <w:rFonts w:eastAsia="Times New Roman" w:cs="Times New Roman"/>
    </w:rPr>
  </w:style>
  <w:style w:type="character" w:customStyle="1" w:styleId="ListLabel198">
    <w:name w:val="ListLabel 198"/>
    <w:rPr>
      <w:rFonts w:cs="Times New Roman"/>
    </w:rPr>
  </w:style>
  <w:style w:type="character" w:customStyle="1" w:styleId="ListLabel199">
    <w:name w:val="ListLabel 199"/>
    <w:rPr>
      <w:rFonts w:cs="Times New Roman"/>
    </w:rPr>
  </w:style>
  <w:style w:type="character" w:customStyle="1" w:styleId="ListLabel200">
    <w:name w:val="ListLabel 200"/>
    <w:rPr>
      <w:rFonts w:cs="Times New Roman"/>
    </w:rPr>
  </w:style>
  <w:style w:type="character" w:customStyle="1" w:styleId="ListLabel201">
    <w:name w:val="ListLabel 201"/>
    <w:rPr>
      <w:rFonts w:cs="Times New Roman"/>
    </w:rPr>
  </w:style>
  <w:style w:type="character" w:customStyle="1" w:styleId="ListLabel202">
    <w:name w:val="ListLabel 202"/>
    <w:rPr>
      <w:rFonts w:cs="Times New Roman"/>
    </w:rPr>
  </w:style>
  <w:style w:type="character" w:customStyle="1" w:styleId="ListLabel203">
    <w:name w:val="ListLabel 203"/>
    <w:rPr>
      <w:rFonts w:cs="Times New Roman"/>
    </w:rPr>
  </w:style>
  <w:style w:type="character" w:customStyle="1" w:styleId="ListLabel204">
    <w:name w:val="ListLabel 204"/>
    <w:rPr>
      <w:rFonts w:cs="Times New Roman"/>
    </w:rPr>
  </w:style>
  <w:style w:type="character" w:customStyle="1" w:styleId="ListLabel205">
    <w:name w:val="ListLabel 205"/>
    <w:rPr>
      <w:rFonts w:cs="Times New Roman"/>
    </w:rPr>
  </w:style>
  <w:style w:type="character" w:customStyle="1" w:styleId="ListLabel206">
    <w:name w:val="ListLabel 206"/>
    <w:rPr>
      <w:rFonts w:eastAsia="Times New Roman" w:cs="Times New Roman"/>
    </w:rPr>
  </w:style>
  <w:style w:type="character" w:customStyle="1" w:styleId="ListLabel207">
    <w:name w:val="ListLabel 207"/>
    <w:rPr>
      <w:rFonts w:cs="Times New Roman"/>
    </w:rPr>
  </w:style>
  <w:style w:type="character" w:customStyle="1" w:styleId="ListLabel208">
    <w:name w:val="ListLabel 208"/>
    <w:rPr>
      <w:rFonts w:cs="Times New Roman"/>
    </w:rPr>
  </w:style>
  <w:style w:type="character" w:customStyle="1" w:styleId="ListLabel209">
    <w:name w:val="ListLabel 209"/>
    <w:rPr>
      <w:rFonts w:cs="Times New Roman"/>
    </w:rPr>
  </w:style>
  <w:style w:type="character" w:customStyle="1" w:styleId="ListLabel210">
    <w:name w:val="ListLabel 210"/>
    <w:rPr>
      <w:rFonts w:cs="Times New Roman"/>
    </w:rPr>
  </w:style>
  <w:style w:type="character" w:customStyle="1" w:styleId="ListLabel211">
    <w:name w:val="ListLabel 211"/>
    <w:rPr>
      <w:rFonts w:cs="Times New Roman"/>
    </w:rPr>
  </w:style>
  <w:style w:type="character" w:customStyle="1" w:styleId="ListLabel212">
    <w:name w:val="ListLabel 212"/>
    <w:rPr>
      <w:rFonts w:cs="Times New Roman"/>
    </w:rPr>
  </w:style>
  <w:style w:type="character" w:customStyle="1" w:styleId="ListLabel213">
    <w:name w:val="ListLabel 213"/>
    <w:rPr>
      <w:rFonts w:cs="Times New Roman"/>
    </w:rPr>
  </w:style>
  <w:style w:type="character" w:customStyle="1" w:styleId="ListLabel214">
    <w:name w:val="ListLabel 214"/>
    <w:rPr>
      <w:rFonts w:cs="Times New Roman"/>
    </w:rPr>
  </w:style>
  <w:style w:type="character" w:customStyle="1" w:styleId="ListLabel215">
    <w:name w:val="ListLabel 215"/>
    <w:rPr>
      <w:rFonts w:eastAsia="Times New Roman" w:cs="Times New Roman"/>
    </w:rPr>
  </w:style>
  <w:style w:type="character" w:customStyle="1" w:styleId="ListLabel216">
    <w:name w:val="ListLabel 216"/>
    <w:rPr>
      <w:rFonts w:cs="Times New Roman"/>
    </w:rPr>
  </w:style>
  <w:style w:type="character" w:customStyle="1" w:styleId="ListLabel217">
    <w:name w:val="ListLabel 217"/>
    <w:rPr>
      <w:rFonts w:cs="Times New Roman"/>
    </w:rPr>
  </w:style>
  <w:style w:type="character" w:customStyle="1" w:styleId="ListLabel218">
    <w:name w:val="ListLabel 218"/>
    <w:rPr>
      <w:rFonts w:cs="Times New Roman"/>
    </w:rPr>
  </w:style>
  <w:style w:type="character" w:customStyle="1" w:styleId="ListLabel219">
    <w:name w:val="ListLabel 219"/>
    <w:rPr>
      <w:rFonts w:cs="Times New Roman"/>
    </w:rPr>
  </w:style>
  <w:style w:type="character" w:customStyle="1" w:styleId="ListLabel220">
    <w:name w:val="ListLabel 220"/>
    <w:rPr>
      <w:rFonts w:cs="Times New Roman"/>
    </w:rPr>
  </w:style>
  <w:style w:type="character" w:customStyle="1" w:styleId="ListLabel221">
    <w:name w:val="ListLabel 221"/>
    <w:rPr>
      <w:rFonts w:cs="Times New Roman"/>
    </w:rPr>
  </w:style>
  <w:style w:type="character" w:customStyle="1" w:styleId="ListLabel222">
    <w:name w:val="ListLabel 222"/>
    <w:rPr>
      <w:rFonts w:cs="Times New Roman"/>
    </w:rPr>
  </w:style>
  <w:style w:type="character" w:customStyle="1" w:styleId="ListLabel223">
    <w:name w:val="ListLabel 223"/>
    <w:rPr>
      <w:rFonts w:cs="Times New Roman"/>
    </w:rPr>
  </w:style>
  <w:style w:type="character" w:customStyle="1" w:styleId="ListLabel224">
    <w:name w:val="ListLabel 224"/>
    <w:rPr>
      <w:rFonts w:cs="Times New Roman"/>
    </w:rPr>
  </w:style>
  <w:style w:type="character" w:customStyle="1" w:styleId="ListLabel225">
    <w:name w:val="ListLabel 225"/>
    <w:rPr>
      <w:rFonts w:cs="Times New Roman"/>
    </w:rPr>
  </w:style>
  <w:style w:type="character" w:customStyle="1" w:styleId="ListLabel226">
    <w:name w:val="ListLabel 226"/>
    <w:rPr>
      <w:rFonts w:cs="Times New Roman"/>
    </w:rPr>
  </w:style>
  <w:style w:type="character" w:customStyle="1" w:styleId="ListLabel227">
    <w:name w:val="ListLabel 227"/>
    <w:rPr>
      <w:rFonts w:cs="Times New Roman"/>
    </w:rPr>
  </w:style>
  <w:style w:type="character" w:customStyle="1" w:styleId="ListLabel228">
    <w:name w:val="ListLabel 228"/>
    <w:rPr>
      <w:rFonts w:cs="Times New Roman"/>
    </w:rPr>
  </w:style>
  <w:style w:type="character" w:customStyle="1" w:styleId="ListLabel229">
    <w:name w:val="ListLabel 229"/>
    <w:rPr>
      <w:rFonts w:cs="Times New Roman"/>
    </w:rPr>
  </w:style>
  <w:style w:type="character" w:customStyle="1" w:styleId="ListLabel230">
    <w:name w:val="ListLabel 230"/>
    <w:rPr>
      <w:rFonts w:cs="Times New Roman"/>
    </w:rPr>
  </w:style>
  <w:style w:type="character" w:customStyle="1" w:styleId="ListLabel231">
    <w:name w:val="ListLabel 231"/>
    <w:rPr>
      <w:rFonts w:cs="Times New Roman"/>
    </w:rPr>
  </w:style>
  <w:style w:type="character" w:customStyle="1" w:styleId="ListLabel232">
    <w:name w:val="ListLabel 232"/>
    <w:rPr>
      <w:rFonts w:cs="Times New Roman"/>
    </w:rPr>
  </w:style>
  <w:style w:type="character" w:customStyle="1" w:styleId="ListLabel233">
    <w:name w:val="ListLabel 233"/>
    <w:rPr>
      <w:rFonts w:cs="Times New Roman"/>
    </w:rPr>
  </w:style>
  <w:style w:type="character" w:customStyle="1" w:styleId="ListLabel234">
    <w:name w:val="ListLabel 234"/>
    <w:rPr>
      <w:rFonts w:cs="Times New Roman"/>
    </w:rPr>
  </w:style>
  <w:style w:type="character" w:customStyle="1" w:styleId="ListLabel235">
    <w:name w:val="ListLabel 235"/>
    <w:rPr>
      <w:rFonts w:cs="Times New Roman"/>
    </w:rPr>
  </w:style>
  <w:style w:type="character" w:customStyle="1" w:styleId="ListLabel236">
    <w:name w:val="ListLabel 236"/>
    <w:rPr>
      <w:rFonts w:cs="Times New Roman"/>
    </w:rPr>
  </w:style>
  <w:style w:type="character" w:customStyle="1" w:styleId="ListLabel237">
    <w:name w:val="ListLabel 237"/>
    <w:rPr>
      <w:rFonts w:cs="Times New Roman"/>
    </w:rPr>
  </w:style>
  <w:style w:type="character" w:customStyle="1" w:styleId="ListLabel238">
    <w:name w:val="ListLabel 238"/>
    <w:rPr>
      <w:rFonts w:cs="Times New Roman"/>
    </w:rPr>
  </w:style>
  <w:style w:type="character" w:customStyle="1" w:styleId="ListLabel239">
    <w:name w:val="ListLabel 239"/>
    <w:rPr>
      <w:rFonts w:cs="Times New Roman"/>
    </w:rPr>
  </w:style>
  <w:style w:type="character" w:customStyle="1" w:styleId="ListLabel240">
    <w:name w:val="ListLabel 240"/>
    <w:rPr>
      <w:rFonts w:cs="Times New Roman"/>
    </w:rPr>
  </w:style>
  <w:style w:type="character" w:customStyle="1" w:styleId="ListLabel241">
    <w:name w:val="ListLabel 241"/>
    <w:rPr>
      <w:rFonts w:cs="Times New Roman"/>
    </w:rPr>
  </w:style>
  <w:style w:type="character" w:customStyle="1" w:styleId="ListLabel242">
    <w:name w:val="ListLabel 242"/>
    <w:rPr>
      <w:rFonts w:cs="Times New Roman"/>
    </w:rPr>
  </w:style>
  <w:style w:type="character" w:customStyle="1" w:styleId="ListLabel243">
    <w:name w:val="ListLabel 243"/>
    <w:rPr>
      <w:rFonts w:cs="Times New Roman"/>
    </w:rPr>
  </w:style>
  <w:style w:type="character" w:customStyle="1" w:styleId="ListLabel244">
    <w:name w:val="ListLabel 244"/>
    <w:rPr>
      <w:rFonts w:cs="Times New Roman"/>
    </w:rPr>
  </w:style>
  <w:style w:type="character" w:customStyle="1" w:styleId="ListLabel245">
    <w:name w:val="ListLabel 245"/>
    <w:rPr>
      <w:rFonts w:cs="Times New Roman"/>
    </w:rPr>
  </w:style>
  <w:style w:type="character" w:customStyle="1" w:styleId="ListLabel246">
    <w:name w:val="ListLabel 246"/>
    <w:rPr>
      <w:rFonts w:cs="Times New Roman"/>
    </w:rPr>
  </w:style>
  <w:style w:type="character" w:customStyle="1" w:styleId="ListLabel247">
    <w:name w:val="ListLabel 247"/>
    <w:rPr>
      <w:rFonts w:cs="Times New Roman"/>
    </w:rPr>
  </w:style>
  <w:style w:type="character" w:customStyle="1" w:styleId="ListLabel248">
    <w:name w:val="ListLabel 248"/>
    <w:rPr>
      <w:rFonts w:cs="Times New Roman"/>
    </w:rPr>
  </w:style>
  <w:style w:type="character" w:customStyle="1" w:styleId="ListLabel249">
    <w:name w:val="ListLabel 249"/>
    <w:rPr>
      <w:rFonts w:cs="Times New Roman"/>
    </w:rPr>
  </w:style>
  <w:style w:type="character" w:customStyle="1" w:styleId="ListLabel250">
    <w:name w:val="ListLabel 250"/>
    <w:rPr>
      <w:rFonts w:cs="Times New Roman"/>
    </w:rPr>
  </w:style>
  <w:style w:type="character" w:customStyle="1" w:styleId="ListLabel251">
    <w:name w:val="ListLabel 251"/>
    <w:rPr>
      <w:rFonts w:cs="Times New Roman"/>
    </w:rPr>
  </w:style>
  <w:style w:type="character" w:customStyle="1" w:styleId="ListLabel252">
    <w:name w:val="ListLabel 252"/>
    <w:rPr>
      <w:rFonts w:cs="Times New Roman"/>
    </w:rPr>
  </w:style>
  <w:style w:type="character" w:customStyle="1" w:styleId="ListLabel253">
    <w:name w:val="ListLabel 253"/>
    <w:rPr>
      <w:rFonts w:cs="Times New Roman"/>
    </w:rPr>
  </w:style>
  <w:style w:type="character" w:customStyle="1" w:styleId="ListLabel254">
    <w:name w:val="ListLabel 254"/>
    <w:rPr>
      <w:rFonts w:cs="Times New Roman"/>
    </w:rPr>
  </w:style>
  <w:style w:type="character" w:customStyle="1" w:styleId="ListLabel255">
    <w:name w:val="ListLabel 255"/>
    <w:rPr>
      <w:rFonts w:cs="Times New Roman"/>
    </w:rPr>
  </w:style>
  <w:style w:type="character" w:customStyle="1" w:styleId="ListLabel256">
    <w:name w:val="ListLabel 256"/>
    <w:rPr>
      <w:rFonts w:cs="Times New Roman"/>
    </w:rPr>
  </w:style>
  <w:style w:type="character" w:customStyle="1" w:styleId="ListLabel257">
    <w:name w:val="ListLabel 257"/>
    <w:rPr>
      <w:rFonts w:cs="Times New Roman"/>
    </w:rPr>
  </w:style>
  <w:style w:type="character" w:customStyle="1" w:styleId="ListLabel258">
    <w:name w:val="ListLabel 258"/>
    <w:rPr>
      <w:rFonts w:cs="Times New Roman"/>
    </w:rPr>
  </w:style>
  <w:style w:type="character" w:customStyle="1" w:styleId="ListLabel259">
    <w:name w:val="ListLabel 259"/>
    <w:rPr>
      <w:rFonts w:cs="Times New Roman"/>
    </w:rPr>
  </w:style>
  <w:style w:type="character" w:customStyle="1" w:styleId="ListLabel260">
    <w:name w:val="ListLabel 260"/>
    <w:rPr>
      <w:u w:val="none"/>
    </w:rPr>
  </w:style>
  <w:style w:type="character" w:customStyle="1" w:styleId="NumberingSymbols">
    <w:name w:val="Numbering Symbols"/>
    <w:rPr>
      <w:rFonts w:eastAsia="標楷體"/>
    </w:rPr>
  </w:style>
  <w:style w:type="character" w:styleId="af7">
    <w:name w:val="Emphasis"/>
    <w:basedOn w:val="a0"/>
    <w:rPr>
      <w:i/>
      <w:iCs/>
    </w:rPr>
  </w:style>
  <w:style w:type="character" w:customStyle="1" w:styleId="34">
    <w:name w:val="標題 3 字元"/>
    <w:basedOn w:val="a0"/>
    <w:rPr>
      <w:rFonts w:ascii="新細明體" w:eastAsia="新細明體" w:hAnsi="新細明體" w:cs="新細明體"/>
      <w:b/>
      <w:bCs/>
      <w:kern w:val="0"/>
      <w:sz w:val="27"/>
      <w:szCs w:val="27"/>
    </w:rPr>
  </w:style>
  <w:style w:type="character" w:styleId="af8">
    <w:name w:val="Hyperlink"/>
    <w:basedOn w:val="a0"/>
    <w:rPr>
      <w:color w:val="0000FF"/>
      <w:u w:val="single"/>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numbering" w:customStyle="1" w:styleId="NoList">
    <w:name w:val="No List"/>
    <w:basedOn w:val="a2"/>
    <w:pPr>
      <w:numPr>
        <w:numId w:val="1"/>
      </w:numPr>
    </w:pPr>
  </w:style>
  <w:style w:type="numbering" w:customStyle="1" w:styleId="NumberingABC">
    <w:name w:val="Numbering ABC"/>
    <w:basedOn w:val="a2"/>
    <w:pPr>
      <w:numPr>
        <w:numId w:val="2"/>
      </w:numPr>
    </w:pPr>
  </w:style>
  <w:style w:type="numbering" w:customStyle="1" w:styleId="WWNum1">
    <w:name w:val="WWNum1"/>
    <w:basedOn w:val="a2"/>
    <w:pPr>
      <w:numPr>
        <w:numId w:val="3"/>
      </w:numPr>
    </w:pPr>
  </w:style>
  <w:style w:type="numbering" w:customStyle="1" w:styleId="WWNum2">
    <w:name w:val="WWNum2"/>
    <w:basedOn w:val="a2"/>
    <w:pPr>
      <w:numPr>
        <w:numId w:val="4"/>
      </w:numPr>
    </w:pPr>
  </w:style>
  <w:style w:type="numbering" w:customStyle="1" w:styleId="WWNum3">
    <w:name w:val="WWNum3"/>
    <w:basedOn w:val="a2"/>
    <w:pPr>
      <w:numPr>
        <w:numId w:val="5"/>
      </w:numPr>
    </w:pPr>
  </w:style>
  <w:style w:type="numbering" w:customStyle="1" w:styleId="WWNum4">
    <w:name w:val="WWNum4"/>
    <w:basedOn w:val="a2"/>
    <w:pPr>
      <w:numPr>
        <w:numId w:val="6"/>
      </w:numPr>
    </w:pPr>
  </w:style>
  <w:style w:type="numbering" w:customStyle="1" w:styleId="WWNum5">
    <w:name w:val="WWNum5"/>
    <w:basedOn w:val="a2"/>
    <w:pPr>
      <w:numPr>
        <w:numId w:val="7"/>
      </w:numPr>
    </w:pPr>
  </w:style>
  <w:style w:type="numbering" w:customStyle="1" w:styleId="WWNum6">
    <w:name w:val="WWNum6"/>
    <w:basedOn w:val="a2"/>
    <w:pPr>
      <w:numPr>
        <w:numId w:val="8"/>
      </w:numPr>
    </w:pPr>
  </w:style>
  <w:style w:type="numbering" w:customStyle="1" w:styleId="WWNum7">
    <w:name w:val="WWNum7"/>
    <w:basedOn w:val="a2"/>
    <w:pPr>
      <w:numPr>
        <w:numId w:val="9"/>
      </w:numPr>
    </w:pPr>
  </w:style>
  <w:style w:type="numbering" w:customStyle="1" w:styleId="WWNum8">
    <w:name w:val="WWNum8"/>
    <w:basedOn w:val="a2"/>
    <w:pPr>
      <w:numPr>
        <w:numId w:val="10"/>
      </w:numPr>
    </w:pPr>
  </w:style>
  <w:style w:type="numbering" w:customStyle="1" w:styleId="WWNum9">
    <w:name w:val="WWNum9"/>
    <w:basedOn w:val="a2"/>
    <w:pPr>
      <w:numPr>
        <w:numId w:val="11"/>
      </w:numPr>
    </w:pPr>
  </w:style>
  <w:style w:type="numbering" w:customStyle="1" w:styleId="WWNum10">
    <w:name w:val="WWNum10"/>
    <w:basedOn w:val="a2"/>
    <w:pPr>
      <w:numPr>
        <w:numId w:val="12"/>
      </w:numPr>
    </w:pPr>
  </w:style>
  <w:style w:type="numbering" w:customStyle="1" w:styleId="WWNum11">
    <w:name w:val="WWNum11"/>
    <w:basedOn w:val="a2"/>
    <w:pPr>
      <w:numPr>
        <w:numId w:val="13"/>
      </w:numPr>
    </w:pPr>
  </w:style>
  <w:style w:type="numbering" w:customStyle="1" w:styleId="WWNum12">
    <w:name w:val="WWNum12"/>
    <w:basedOn w:val="a2"/>
    <w:pPr>
      <w:numPr>
        <w:numId w:val="14"/>
      </w:numPr>
    </w:pPr>
  </w:style>
  <w:style w:type="numbering" w:customStyle="1" w:styleId="WWNum13">
    <w:name w:val="WWNum13"/>
    <w:basedOn w:val="a2"/>
    <w:pPr>
      <w:numPr>
        <w:numId w:val="15"/>
      </w:numPr>
    </w:pPr>
  </w:style>
  <w:style w:type="numbering" w:customStyle="1" w:styleId="WWNum14">
    <w:name w:val="WWNum14"/>
    <w:basedOn w:val="a2"/>
    <w:pPr>
      <w:numPr>
        <w:numId w:val="16"/>
      </w:numPr>
    </w:pPr>
  </w:style>
  <w:style w:type="numbering" w:customStyle="1" w:styleId="WWNum15">
    <w:name w:val="WWNum15"/>
    <w:basedOn w:val="a2"/>
    <w:pPr>
      <w:numPr>
        <w:numId w:val="17"/>
      </w:numPr>
    </w:pPr>
  </w:style>
  <w:style w:type="numbering" w:customStyle="1" w:styleId="WWNum16">
    <w:name w:val="WWNum16"/>
    <w:basedOn w:val="a2"/>
    <w:pPr>
      <w:numPr>
        <w:numId w:val="18"/>
      </w:numPr>
    </w:pPr>
  </w:style>
  <w:style w:type="numbering" w:customStyle="1" w:styleId="WWNum17">
    <w:name w:val="WWNum17"/>
    <w:basedOn w:val="a2"/>
    <w:pPr>
      <w:numPr>
        <w:numId w:val="19"/>
      </w:numPr>
    </w:pPr>
  </w:style>
  <w:style w:type="numbering" w:customStyle="1" w:styleId="WWNum18">
    <w:name w:val="WWNum18"/>
    <w:basedOn w:val="a2"/>
    <w:pPr>
      <w:numPr>
        <w:numId w:val="20"/>
      </w:numPr>
    </w:pPr>
  </w:style>
  <w:style w:type="numbering" w:customStyle="1" w:styleId="WWNum19">
    <w:name w:val="WWNum19"/>
    <w:basedOn w:val="a2"/>
    <w:pPr>
      <w:numPr>
        <w:numId w:val="21"/>
      </w:numPr>
    </w:pPr>
  </w:style>
  <w:style w:type="numbering" w:customStyle="1" w:styleId="WWNum20">
    <w:name w:val="WWNum20"/>
    <w:basedOn w:val="a2"/>
    <w:pPr>
      <w:numPr>
        <w:numId w:val="22"/>
      </w:numPr>
    </w:pPr>
  </w:style>
  <w:style w:type="numbering" w:customStyle="1" w:styleId="WWNum21">
    <w:name w:val="WWNum21"/>
    <w:basedOn w:val="a2"/>
    <w:pPr>
      <w:numPr>
        <w:numId w:val="23"/>
      </w:numPr>
    </w:pPr>
  </w:style>
  <w:style w:type="numbering" w:customStyle="1" w:styleId="WWNum22">
    <w:name w:val="WWNum22"/>
    <w:basedOn w:val="a2"/>
    <w:pPr>
      <w:numPr>
        <w:numId w:val="24"/>
      </w:numPr>
    </w:pPr>
  </w:style>
  <w:style w:type="numbering" w:customStyle="1" w:styleId="WWNum23">
    <w:name w:val="WWNum23"/>
    <w:basedOn w:val="a2"/>
    <w:pPr>
      <w:numPr>
        <w:numId w:val="25"/>
      </w:numPr>
    </w:pPr>
  </w:style>
  <w:style w:type="numbering" w:customStyle="1" w:styleId="WWNum24">
    <w:name w:val="WWNum24"/>
    <w:basedOn w:val="a2"/>
    <w:pPr>
      <w:numPr>
        <w:numId w:val="26"/>
      </w:numPr>
    </w:pPr>
  </w:style>
  <w:style w:type="numbering" w:customStyle="1" w:styleId="WWNum25">
    <w:name w:val="WWNum25"/>
    <w:basedOn w:val="a2"/>
    <w:pPr>
      <w:numPr>
        <w:numId w:val="27"/>
      </w:numPr>
    </w:pPr>
  </w:style>
  <w:style w:type="numbering" w:customStyle="1" w:styleId="WWNum26">
    <w:name w:val="WWNum26"/>
    <w:basedOn w:val="a2"/>
    <w:pPr>
      <w:numPr>
        <w:numId w:val="28"/>
      </w:numPr>
    </w:pPr>
  </w:style>
  <w:style w:type="numbering" w:customStyle="1" w:styleId="WWNum27">
    <w:name w:val="WWNum27"/>
    <w:basedOn w:val="a2"/>
    <w:pPr>
      <w:numPr>
        <w:numId w:val="29"/>
      </w:numPr>
    </w:pPr>
  </w:style>
  <w:style w:type="numbering" w:customStyle="1" w:styleId="WWNum28">
    <w:name w:val="WWNum28"/>
    <w:basedOn w:val="a2"/>
    <w:pPr>
      <w:numPr>
        <w:numId w:val="30"/>
      </w:numPr>
    </w:pPr>
  </w:style>
  <w:style w:type="numbering" w:customStyle="1" w:styleId="WWNum29">
    <w:name w:val="WWNum29"/>
    <w:basedOn w:val="a2"/>
    <w:pPr>
      <w:numPr>
        <w:numId w:val="31"/>
      </w:numPr>
    </w:pPr>
  </w:style>
  <w:style w:type="numbering" w:customStyle="1" w:styleId="WWNum30">
    <w:name w:val="WWNum30"/>
    <w:basedOn w:val="a2"/>
    <w:pPr>
      <w:numPr>
        <w:numId w:val="32"/>
      </w:numPr>
    </w:pPr>
  </w:style>
  <w:style w:type="numbering" w:customStyle="1" w:styleId="WWNum31">
    <w:name w:val="WWNum31"/>
    <w:basedOn w:val="a2"/>
    <w:pPr>
      <w:numPr>
        <w:numId w:val="33"/>
      </w:numPr>
    </w:pPr>
  </w:style>
  <w:style w:type="numbering" w:customStyle="1" w:styleId="WWNum32">
    <w:name w:val="WWNum32"/>
    <w:basedOn w:val="a2"/>
    <w:pPr>
      <w:numPr>
        <w:numId w:val="34"/>
      </w:numPr>
    </w:pPr>
  </w:style>
  <w:style w:type="numbering" w:customStyle="1" w:styleId="WWNum33">
    <w:name w:val="WWNum33"/>
    <w:basedOn w:val="a2"/>
    <w:pPr>
      <w:numPr>
        <w:numId w:val="35"/>
      </w:numPr>
    </w:pPr>
  </w:style>
  <w:style w:type="numbering" w:customStyle="1" w:styleId="WWNum34">
    <w:name w:val="WWNum34"/>
    <w:basedOn w:val="a2"/>
    <w:pPr>
      <w:numPr>
        <w:numId w:val="36"/>
      </w:numPr>
    </w:pPr>
  </w:style>
  <w:style w:type="numbering" w:customStyle="1" w:styleId="WWNum35">
    <w:name w:val="WWNum35"/>
    <w:basedOn w:val="a2"/>
    <w:pPr>
      <w:numPr>
        <w:numId w:val="37"/>
      </w:numPr>
    </w:pPr>
  </w:style>
  <w:style w:type="numbering" w:customStyle="1" w:styleId="WWNum36">
    <w:name w:val="WWNum36"/>
    <w:basedOn w:val="a2"/>
    <w:pPr>
      <w:numPr>
        <w:numId w:val="38"/>
      </w:numPr>
    </w:pPr>
  </w:style>
  <w:style w:type="numbering" w:customStyle="1" w:styleId="WWNum37">
    <w:name w:val="WWNum37"/>
    <w:basedOn w:val="a2"/>
    <w:pPr>
      <w:numPr>
        <w:numId w:val="39"/>
      </w:numPr>
    </w:pPr>
  </w:style>
  <w:style w:type="numbering" w:customStyle="1" w:styleId="WWNum38">
    <w:name w:val="WWNum38"/>
    <w:basedOn w:val="a2"/>
    <w:pPr>
      <w:numPr>
        <w:numId w:val="40"/>
      </w:numPr>
    </w:pPr>
  </w:style>
  <w:style w:type="numbering" w:customStyle="1" w:styleId="WWNum39">
    <w:name w:val="WWNum39"/>
    <w:basedOn w:val="a2"/>
    <w:pPr>
      <w:numPr>
        <w:numId w:val="41"/>
      </w:numPr>
    </w:pPr>
  </w:style>
  <w:style w:type="numbering" w:customStyle="1" w:styleId="WWNum40">
    <w:name w:val="WWNum40"/>
    <w:basedOn w:val="a2"/>
    <w:pPr>
      <w:numPr>
        <w:numId w:val="42"/>
      </w:numPr>
    </w:pPr>
  </w:style>
  <w:style w:type="numbering" w:customStyle="1" w:styleId="WWNum41">
    <w:name w:val="WWNum41"/>
    <w:basedOn w:val="a2"/>
    <w:pPr>
      <w:numPr>
        <w:numId w:val="43"/>
      </w:numPr>
    </w:pPr>
  </w:style>
  <w:style w:type="numbering" w:customStyle="1" w:styleId="WWNum42">
    <w:name w:val="WWNum42"/>
    <w:basedOn w:val="a2"/>
    <w:pPr>
      <w:numPr>
        <w:numId w:val="44"/>
      </w:numPr>
    </w:pPr>
  </w:style>
  <w:style w:type="numbering" w:customStyle="1" w:styleId="WWNum43">
    <w:name w:val="WWNum43"/>
    <w:basedOn w:val="a2"/>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441</Words>
  <Characters>2520</Characters>
  <Application>Microsoft Office Word</Application>
  <DocSecurity>0</DocSecurity>
  <Lines>21</Lines>
  <Paragraphs>5</Paragraphs>
  <ScaleCrop>false</ScaleCrop>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項目</dc:title>
  <dc:creator>MOE</dc:creator>
  <cp:lastModifiedBy>yang3047@yahoo.com.tw</cp:lastModifiedBy>
  <cp:revision>2</cp:revision>
  <cp:lastPrinted>2025-11-13T15:32:00Z</cp:lastPrinted>
  <dcterms:created xsi:type="dcterms:W3CDTF">2026-02-03T09:35:00Z</dcterms:created>
  <dcterms:modified xsi:type="dcterms:W3CDTF">2026-02-03T09:35:00Z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MOE</vt:lpwstr>
  </property>
  <property fmtid="{D5CDD505-2E9C-101B-9397-08002B2CF9AE}" pid="4" name="DocSecurity">
    <vt:r8>0</vt:r8>
  </property>
  <property fmtid="{D5CDD505-2E9C-101B-9397-08002B2CF9AE}" pid="5" name="FormatCheck">
    <vt:bool>true</vt:bool>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